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15="http://schemas.microsoft.com/office/word/2012/wordml"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xmlns:mc="http://schemas.openxmlformats.org/markup-compatibility/2006" mc:Ignorable="w15">
  <w:body>
    <w:p>
      <w:pPr>
        <w:rPr>
          <w:rFonts w:hint="eastAsia" w:eastAsia="宋体"/>
          <w:lang w:val="en-US" w:eastAsia="zh-CN"/>
        </w:rPr>
      </w:pPr>
      <w:r>
        <w:rPr>
          <w:rFonts w:hint="eastAsia" w:eastAsia="宋体"/>
          <w:lang w:val="en-US" w:eastAsia="zh-CN"/>
        </w:rPr>
        <w:t xml:space="preserve">  </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outlineLvl w:val="9"/>
        <w:rPr>
          <w:rFonts w:hint="eastAsia" w:ascii="宋体" w:hAnsi="宋体" w:eastAsia="宋体" w:cs="宋体"/>
          <w:b/>
          <w:bCs/>
          <w:snapToGrid w:val="false"/>
          <w:color w:val="000000"/>
          <w:kern w:val="0"/>
          <w:sz w:val="52"/>
          <w:szCs w:val="52"/>
          <w:lang w:val="en-US" w:eastAsia="zh-CN"/>
        </w:rPr>
      </w:pPr>
      <w:r>
        <w:rPr>
          <w:rFonts w:hint="eastAsia" w:ascii="宋体" w:hAnsi="宋体" w:eastAsia="宋体" w:cs="宋体"/>
          <w:b/>
          <w:bCs/>
          <w:snapToGrid w:val="false"/>
          <w:color w:val="000000"/>
          <w:kern w:val="0"/>
          <w:sz w:val="52"/>
          <w:szCs w:val="52"/>
          <w:lang w:val="en-US" w:eastAsia="zh-CN"/>
        </w:rPr>
        <w:t>河南大成包装材料有限公司源网荷储一体化项目</w:t>
      </w:r>
    </w:p>
    <w:p>
      <w:pPr>
        <w:keepNext w:val="false"/>
        <w:keepLines w:val="false"/>
        <w:pageBreakBefore w:val="false"/>
        <w:widowControl/>
        <w:suppressLineNumbers w:val="false"/>
        <w:kinsoku w:val="false"/>
        <w:wordWrap/>
        <w:overflowPunct/>
        <w:topLinePunct w:val="false"/>
        <w:autoSpaceDE w:val="false"/>
        <w:autoSpaceDN w:val="false"/>
        <w:bidi w:val="false"/>
        <w:adjustRightInd/>
        <w:snapToGrid/>
        <w:spacing w:before="1249" w:beforeLines="400" w:after="937" w:afterLines="300" w:line="360" w:lineRule="auto"/>
        <w:jc w:val="center"/>
        <w:textAlignment w:val="baseline"/>
        <w:rPr>
          <w:rFonts w:hint="eastAsia" w:ascii="宋体" w:hAnsi="宋体" w:eastAsia="宋体" w:cs="宋体"/>
          <w:sz w:val="52"/>
          <w:szCs w:val="52"/>
        </w:rPr>
      </w:pPr>
      <w:r>
        <w:rPr>
          <w:rFonts w:hint="eastAsia" w:ascii="宋体" w:hAnsi="宋体" w:eastAsia="宋体" w:cs="宋体"/>
          <w:b/>
          <w:bCs/>
          <w:snapToGrid w:val="false"/>
          <w:color w:val="000000"/>
          <w:kern w:val="0"/>
          <w:sz w:val="52"/>
          <w:szCs w:val="52"/>
          <w:lang w:val="en-US" w:eastAsia="zh-CN"/>
        </w:rPr>
        <w:t>可行性研究报告</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bookmarkStart w:id="1" w:name="_Toc3961"/>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1446" w:firstLineChars="400"/>
        <w:jc w:val="left"/>
        <w:textAlignment w:val="baseline"/>
        <w:outlineLvl w:val="9"/>
        <w:rPr>
          <w:rFonts w:hint="eastAsia" w:ascii="宋体" w:hAnsi="宋体" w:eastAsia="宋体" w:cs="宋体"/>
          <w:b/>
          <w:bCs/>
          <w:sz w:val="36"/>
          <w:szCs w:val="36"/>
          <w:lang w:val="en-US" w:eastAsia="zh-CN"/>
        </w:rPr>
      </w:pP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建设单位：</w:t>
      </w:r>
      <w:bookmarkEnd w:id="1"/>
      <w:r>
        <w:rPr>
          <w:rFonts w:hint="eastAsia" w:ascii="宋体" w:hAnsi="宋体" w:eastAsia="宋体" w:cs="宋体"/>
          <w:b/>
          <w:bCs/>
          <w:sz w:val="32"/>
          <w:szCs w:val="32"/>
          <w:lang w:val="en-US" w:eastAsia="zh-CN"/>
        </w:rPr>
        <w:t>河南中原智慧冷链物流园管理运营有限公司</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pPr>
      <w:bookmarkStart w:id="2" w:name="_Toc32090"/>
      <w:r>
        <w:rPr>
          <w:rFonts w:hint="eastAsia" w:ascii="宋体" w:hAnsi="宋体" w:eastAsia="宋体" w:cs="宋体"/>
          <w:b/>
          <w:bCs/>
          <w:sz w:val="32"/>
          <w:szCs w:val="32"/>
          <w:lang w:val="en-US" w:eastAsia="zh-CN"/>
        </w:rPr>
        <w:t>编制单位：北京新元工程咨询有限公司</w:t>
      </w:r>
      <w:bookmarkEnd w:id="2"/>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t>编制日期：2025年10月</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100" w:after="0" w:afterLines="100" w:line="360" w:lineRule="auto"/>
        <w:ind w:firstLine="0" w:firstLineChars="0"/>
        <w:jc w:val="center"/>
        <w:textAlignment w:val="baseline"/>
        <w:outlineLvl w:val="9"/>
        <w:rPr>
          <w:rFonts w:hint="eastAsia" w:ascii="宋体" w:hAnsi="宋体" w:eastAsia="宋体" w:cs="宋体"/>
          <w:b/>
          <w:bCs/>
          <w:sz w:val="32"/>
          <w:szCs w:val="32"/>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r>
        <w:rPr>
          <w:rFonts w:hint="eastAsia" w:ascii="宋体" w:hAnsi="宋体" w:eastAsia="宋体" w:cs="宋体"/>
          <w:b/>
          <w:bCs/>
          <w:sz w:val="32"/>
          <w:szCs w:val="32"/>
          <w:lang w:val="en-US" w:eastAsia="zh-CN"/>
        </w:rPr>
        <w:drawing>
          <wp:inline distT="0" distB="0" distL="114300" distR="114300">
            <wp:extent cx="7040880" cy="4984115"/>
            <wp:effectExtent l="0" t="0" r="7620" b="6985"/>
            <wp:docPr id="2" name="图片 1" descr="1"/>
            <wp:cNvGraphicFramePr>
              <a:graphicFrameLocks noChangeAspect="true"/>
            </wp:cNvGraphicFramePr>
            <a:graphic>
              <a:graphicData uri="http://schemas.openxmlformats.org/drawingml/2006/picture">
                <pic:pic>
                  <pic:nvPicPr>
                    <pic:cNvPr id="3" name="图片 1" descr="1"/>
                    <pic:cNvPicPr>
                      <a:picLocks noChangeAspect="true"/>
                    </pic:cNvPicPr>
                  </pic:nvPicPr>
                  <pic:blipFill>
                    <a:blip r:embed="rId7"/>
                    <a:stretch>
                      <a:fillRect/>
                    </a:stretch>
                  </pic:blipFill>
                  <pic:spPr>
                    <a:xfrm>
                      <a:off x="0" y="0"/>
                      <a:ext cx="7040880" cy="4984115"/>
                    </a:xfrm>
                    <a:prstGeom prst="rect">
                      <a:avLst/>
                    </a:prstGeom>
                  </pic:spPr>
                </pic:pic>
              </a:graphicData>
            </a:graphic>
          </wp:inline>
        </w:drawing>
      </w:r>
      <w:r>
        <w:rPr>
          <w:rFonts w:hint="eastAsia" w:ascii="宋体" w:hAnsi="宋体" w:eastAsia="宋体" w:cs="宋体"/>
          <w:b/>
          <w:bCs/>
          <w:sz w:val="32"/>
          <w:szCs w:val="32"/>
          <w:lang w:val="en-US" w:eastAsia="zh-CN"/>
        </w:rPr>
        <w:drawing>
          <wp:inline distT="0" distB="0" distL="114300" distR="114300">
            <wp:extent cx="6872605" cy="4757420"/>
            <wp:effectExtent l="0" t="0" r="4445" b="5080"/>
            <wp:docPr id="5" name="图片 3" descr="2"/>
            <wp:cNvGraphicFramePr>
              <a:graphicFrameLocks noChangeAspect="true"/>
            </wp:cNvGraphicFramePr>
            <a:graphic>
              <a:graphicData uri="http://schemas.openxmlformats.org/drawingml/2006/picture">
                <pic:pic>
                  <pic:nvPicPr>
                    <pic:cNvPr id="6" name="图片 3" descr="2"/>
                    <pic:cNvPicPr>
                      <a:picLocks noChangeAspect="true"/>
                    </pic:cNvPicPr>
                  </pic:nvPicPr>
                  <pic:blipFill>
                    <a:blip r:embed="rId8"/>
                    <a:stretch>
                      <a:fillRect/>
                    </a:stretch>
                  </pic:blipFill>
                  <pic:spPr>
                    <a:xfrm>
                      <a:off x="0" y="0"/>
                      <a:ext cx="6872605" cy="4757420"/>
                    </a:xfrm>
                    <a:prstGeom prst="rect">
                      <a:avLst/>
                    </a:prstGeom>
                  </pic:spPr>
                </pic:pic>
              </a:graphicData>
            </a:graphic>
          </wp:inline>
        </w:drawing>
      </w:r>
    </w:p>
    <w:sdt>
      <w:sdtPr>
        <w:rPr>
          <w:rFonts w:ascii="宋体" w:hAnsi="宋体" w:eastAsia="宋体" w:cs="Arial"/>
          <w:snapToGrid w:val="false"/>
          <w:color w:val="000000"/>
          <w:kern w:val="0"/>
          <w:sz w:val="21"/>
          <w:szCs w:val="21"/>
          <w:lang w:val="en-US" w:eastAsia="en-US" w:bidi="ar-SA"/>
        </w:rPr>
        <w:id w:val="147457988"/>
        <w15:color w:val="DBDBDB"/>
        <w:docPartObj>
          <w:docPartGallery w:val="Table of Contents"/>
          <w:docPartUnique/>
        </w:docPartObj>
      </w:sdtPr>
      <w:sdtEndPr>
        <w:rPr>
          <w:rFonts w:ascii="宋体" w:hAnsi="宋体" w:eastAsia="宋体" w:cs="Arial"/>
          <w:b/>
          <w:snapToGrid w:val="false"/>
          <w:color w:val="000000"/>
          <w:kern w:val="0"/>
          <w:sz w:val="21"/>
          <w:szCs w:val="21"/>
          <w:lang w:val="en-US" w:eastAsia="en-US" w:bidi="ar-SA"/>
        </w:rPr>
      </w:sdtEndPr>
      <w:sdtContent>
        <w:bookmarkStart w:id="3" w:name="_Toc32442"/>
        <w:bookmarkStart w:id="4" w:name="_Toc32307"/>
        <w:bookmarkStart w:id="5" w:name="_Toc13134"/>
        <w:p>
          <w:pPr>
            <w:keepNext w:val="false"/>
            <w:keepLines w:val="false"/>
            <w:pageBreakBefore w:val="false"/>
            <w:widowControl/>
            <w:wordWrap/>
            <w:overflowPunct/>
            <w:topLinePunct w:val="false"/>
            <w:bidi w:val="false"/>
            <w:spacing w:before="0" w:beforeLines="0" w:after="0" w:afterLines="0" w:line="360" w:lineRule="auto"/>
            <w:ind w:left="0" w:leftChars="0" w:right="0" w:rightChars="0" w:firstLine="0" w:firstLineChars="0"/>
            <w:jc w:val="center"/>
            <w:rPr>
              <w:rFonts w:hint="eastAsia" w:ascii="宋体" w:hAnsi="宋体" w:eastAsia="宋体" w:cs="宋体"/>
              <w:b/>
              <w:bCs/>
              <w:sz w:val="44"/>
              <w:szCs w:val="44"/>
            </w:rPr>
          </w:pPr>
          <w:r>
            <w:rPr>
              <w:rFonts w:hint="eastAsia" w:ascii="宋体" w:hAnsi="宋体" w:eastAsia="宋体" w:cs="宋体"/>
              <w:b/>
              <w:bCs/>
              <w:sz w:val="44"/>
              <w:szCs w:val="44"/>
            </w:rPr>
            <w:t>目录</w:t>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TOC \o "1-2" \h \u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_Toc10462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第一章 总论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_Toc10462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_Toc13929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1.1 项目概况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_Toc13929 \h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_Toc10740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1.2 企业及实际控制人概况</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_Toc10740 \h </w:instrText>
          </w:r>
          <w:r>
            <w:rPr>
              <w:rFonts w:hint="eastAsia" w:ascii="宋体" w:hAnsi="宋体" w:eastAsia="宋体" w:cs="宋体"/>
              <w:sz w:val="24"/>
              <w:szCs w:val="24"/>
            </w:rPr>
            <w:fldChar w:fldCharType="separate"/>
          </w:r>
          <w:r>
            <w:rPr>
              <w:rFonts w:hint="eastAsia" w:ascii="宋体" w:hAnsi="宋体" w:eastAsia="宋体" w:cs="宋体"/>
              <w:sz w:val="24"/>
              <w:szCs w:val="24"/>
            </w:rPr>
            <w:t>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_Toc8258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1.3 编制依据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_Toc8258 \h </w:instrText>
          </w:r>
          <w:r>
            <w:rPr>
              <w:rFonts w:hint="eastAsia" w:ascii="宋体" w:hAnsi="宋体" w:eastAsia="宋体" w:cs="宋体"/>
              <w:sz w:val="24"/>
              <w:szCs w:val="24"/>
            </w:rPr>
            <w:fldChar w:fldCharType="separate"/>
          </w:r>
          <w:r>
            <w:rPr>
              <w:rFonts w:hint="eastAsia" w:ascii="宋体" w:hAnsi="宋体" w:eastAsia="宋体" w:cs="宋体"/>
              <w:sz w:val="24"/>
              <w:szCs w:val="24"/>
            </w:rPr>
            <w:t>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_Toc6711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1.4 研究范围</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_Toc6711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_Toc26283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1.5 结论及建议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_Toc26283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_Toc8074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第二章 项目建设背景及必要性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_Toc8074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_Toc29356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2.1 规划政策符合性</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_Toc29356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_Toc14012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2.2 项目主体发展战略需求分析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_Toc14012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_Toc19993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2.3 项目市场需求分析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_Toc19993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_Toc18825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2.4 项目建设内容、规模及产出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_Toc18825 \h </w:instrText>
          </w:r>
          <w:r>
            <w:rPr>
              <w:rFonts w:hint="eastAsia" w:ascii="宋体" w:hAnsi="宋体" w:eastAsia="宋体" w:cs="宋体"/>
              <w:sz w:val="24"/>
              <w:szCs w:val="24"/>
            </w:rPr>
            <w:fldChar w:fldCharType="separate"/>
          </w:r>
          <w:r>
            <w:rPr>
              <w:rFonts w:hint="eastAsia" w:ascii="宋体" w:hAnsi="宋体" w:eastAsia="宋体" w:cs="宋体"/>
              <w:sz w:val="24"/>
              <w:szCs w:val="24"/>
            </w:rPr>
            <w:t>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_Toc3599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2.5 项目商业模式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_Toc3599 \h </w:instrText>
          </w:r>
          <w:r>
            <w:rPr>
              <w:rFonts w:hint="eastAsia" w:ascii="宋体" w:hAnsi="宋体" w:eastAsia="宋体" w:cs="宋体"/>
              <w:sz w:val="24"/>
              <w:szCs w:val="24"/>
            </w:rPr>
            <w:fldChar w:fldCharType="separate"/>
          </w:r>
          <w:r>
            <w:rPr>
              <w:rFonts w:hint="eastAsia" w:ascii="宋体" w:hAnsi="宋体" w:eastAsia="宋体" w:cs="宋体"/>
              <w:sz w:val="24"/>
              <w:szCs w:val="24"/>
            </w:rPr>
            <w:t>39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_Toc27047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第三章 项目选址与要素保障</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_Toc27047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_Toc12886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3.1 项目地址</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_Toc12886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3.2 项目建设条件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_Toc282 \h </w:instrText>
          </w:r>
          <w:r>
            <w:rPr>
              <w:rFonts w:hint="eastAsia" w:ascii="宋体" w:hAnsi="宋体" w:eastAsia="宋体" w:cs="宋体"/>
              <w:sz w:val="24"/>
              <w:szCs w:val="24"/>
            </w:rPr>
            <w:fldChar w:fldCharType="separate"/>
          </w:r>
          <w:r>
            <w:rPr>
              <w:rFonts w:hint="eastAsia" w:ascii="宋体" w:hAnsi="宋体" w:eastAsia="宋体" w:cs="宋体"/>
              <w:sz w:val="24"/>
              <w:szCs w:val="24"/>
            </w:rPr>
            <w:t>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_Toc10443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3.3 要素保障分析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_Toc10443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_Toc2672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第四章 项目建设方案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_Toc2672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_Toc23882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4.1 技术方案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_Toc23882 \h </w:instrText>
          </w:r>
          <w:r>
            <w:rPr>
              <w:rFonts w:hint="eastAsia" w:ascii="宋体" w:hAnsi="宋体" w:eastAsia="宋体" w:cs="宋体"/>
              <w:sz w:val="24"/>
              <w:szCs w:val="24"/>
            </w:rPr>
            <w:fldChar w:fldCharType="separate"/>
          </w:r>
          <w:r>
            <w:rPr>
              <w:rFonts w:hint="eastAsia" w:ascii="宋体" w:hAnsi="宋体" w:eastAsia="宋体" w:cs="宋体"/>
              <w:sz w:val="24"/>
              <w:szCs w:val="24"/>
            </w:rPr>
            <w:t>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_Toc14225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4.2 设备方案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_Toc14225 \h </w:instrText>
          </w:r>
          <w:r>
            <w:rPr>
              <w:rFonts w:hint="eastAsia" w:ascii="宋体" w:hAnsi="宋体" w:eastAsia="宋体" w:cs="宋体"/>
              <w:sz w:val="24"/>
              <w:szCs w:val="24"/>
            </w:rPr>
            <w:fldChar w:fldCharType="separate"/>
          </w:r>
          <w:r>
            <w:rPr>
              <w:rFonts w:hint="eastAsia" w:ascii="宋体" w:hAnsi="宋体" w:eastAsia="宋体" w:cs="宋体"/>
              <w:sz w:val="24"/>
              <w:szCs w:val="24"/>
            </w:rPr>
            <w:t>51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_Toc16810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4.3 储能系统配置方案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_Toc16810 \h </w:instrText>
          </w:r>
          <w:r>
            <w:rPr>
              <w:rFonts w:hint="eastAsia" w:ascii="宋体" w:hAnsi="宋体" w:eastAsia="宋体" w:cs="宋体"/>
              <w:sz w:val="24"/>
              <w:szCs w:val="24"/>
            </w:rPr>
            <w:fldChar w:fldCharType="separate"/>
          </w:r>
          <w:r>
            <w:rPr>
              <w:rFonts w:hint="eastAsia" w:ascii="宋体" w:hAnsi="宋体" w:eastAsia="宋体" w:cs="宋体"/>
              <w:sz w:val="24"/>
              <w:szCs w:val="24"/>
            </w:rPr>
            <w:t>65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_Toc25664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4.4 建设管理方案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_Toc25664 \h </w:instrText>
          </w:r>
          <w:r>
            <w:rPr>
              <w:rFonts w:hint="eastAsia" w:ascii="宋体" w:hAnsi="宋体" w:eastAsia="宋体" w:cs="宋体"/>
              <w:sz w:val="24"/>
              <w:szCs w:val="24"/>
            </w:rPr>
            <w:fldChar w:fldCharType="separate"/>
          </w:r>
          <w:r>
            <w:rPr>
              <w:rFonts w:hint="eastAsia" w:ascii="宋体" w:hAnsi="宋体" w:eastAsia="宋体" w:cs="宋体"/>
              <w:sz w:val="24"/>
              <w:szCs w:val="24"/>
            </w:rPr>
            <w:t>70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_Toc22215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第五章 项目运营方案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_Toc22215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_Toc22922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5.1 运营方案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_Toc22922 \h </w:instrText>
          </w:r>
          <w:r>
            <w:rPr>
              <w:rFonts w:hint="eastAsia" w:ascii="宋体" w:hAnsi="宋体" w:eastAsia="宋体" w:cs="宋体"/>
              <w:sz w:val="24"/>
              <w:szCs w:val="24"/>
            </w:rPr>
            <w:fldChar w:fldCharType="separate"/>
          </w:r>
          <w:r>
            <w:rPr>
              <w:rFonts w:hint="eastAsia" w:ascii="宋体" w:hAnsi="宋体" w:eastAsia="宋体" w:cs="宋体"/>
              <w:sz w:val="24"/>
              <w:szCs w:val="24"/>
            </w:rPr>
            <w:t>80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_Toc18094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5.2 安全保障方案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_Toc18094 \h </w:instrText>
          </w:r>
          <w:r>
            <w:rPr>
              <w:rFonts w:hint="eastAsia" w:ascii="宋体" w:hAnsi="宋体" w:eastAsia="宋体" w:cs="宋体"/>
              <w:sz w:val="24"/>
              <w:szCs w:val="24"/>
            </w:rPr>
            <w:fldChar w:fldCharType="separate"/>
          </w:r>
          <w:r>
            <w:rPr>
              <w:rFonts w:hint="eastAsia" w:ascii="宋体" w:hAnsi="宋体" w:eastAsia="宋体" w:cs="宋体"/>
              <w:sz w:val="24"/>
              <w:szCs w:val="24"/>
            </w:rPr>
            <w:t>84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_Toc20906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5.3 运营管理方案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_Toc20906 \h </w:instrText>
          </w:r>
          <w:r>
            <w:rPr>
              <w:rFonts w:hint="eastAsia" w:ascii="宋体" w:hAnsi="宋体" w:eastAsia="宋体" w:cs="宋体"/>
              <w:sz w:val="24"/>
              <w:szCs w:val="24"/>
            </w:rPr>
            <w:fldChar w:fldCharType="separate"/>
          </w:r>
          <w:r>
            <w:rPr>
              <w:rFonts w:hint="eastAsia" w:ascii="宋体" w:hAnsi="宋体" w:eastAsia="宋体" w:cs="宋体"/>
              <w:sz w:val="24"/>
              <w:szCs w:val="24"/>
            </w:rPr>
            <w:t>85</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_Toc24940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第六章 项目投融资与财务方案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_Toc24940 \h </w:instrText>
          </w:r>
          <w:r>
            <w:rPr>
              <w:rFonts w:hint="eastAsia" w:ascii="宋体" w:hAnsi="宋体" w:eastAsia="宋体" w:cs="宋体"/>
              <w:sz w:val="24"/>
              <w:szCs w:val="24"/>
            </w:rPr>
            <w:fldChar w:fldCharType="separate"/>
          </w:r>
          <w:r>
            <w:rPr>
              <w:rFonts w:hint="eastAsia" w:ascii="宋体" w:hAnsi="宋体" w:eastAsia="宋体" w:cs="宋体"/>
              <w:sz w:val="24"/>
              <w:szCs w:val="24"/>
            </w:rPr>
            <w:t>92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_Toc26679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6.1 项目投资估算及说明</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_Toc26679 \h </w:instrText>
          </w:r>
          <w:r>
            <w:rPr>
              <w:rFonts w:hint="eastAsia" w:ascii="宋体" w:hAnsi="宋体" w:eastAsia="宋体" w:cs="宋体"/>
              <w:sz w:val="24"/>
              <w:szCs w:val="24"/>
            </w:rPr>
            <w:fldChar w:fldCharType="separate"/>
          </w:r>
          <w:r>
            <w:rPr>
              <w:rFonts w:hint="eastAsia" w:ascii="宋体" w:hAnsi="宋体" w:eastAsia="宋体" w:cs="宋体"/>
              <w:sz w:val="24"/>
              <w:szCs w:val="24"/>
            </w:rPr>
            <w:t>92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_Toc6414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6.2 财务盈利能力分析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_Toc6414 \h </w:instrText>
          </w:r>
          <w:r>
            <w:rPr>
              <w:rFonts w:hint="eastAsia" w:ascii="宋体" w:hAnsi="宋体" w:eastAsia="宋体" w:cs="宋体"/>
              <w:sz w:val="24"/>
              <w:szCs w:val="24"/>
            </w:rPr>
            <w:fldChar w:fldCharType="separate"/>
          </w:r>
          <w:r>
            <w:rPr>
              <w:rFonts w:hint="eastAsia" w:ascii="宋体" w:hAnsi="宋体" w:eastAsia="宋体" w:cs="宋体"/>
              <w:sz w:val="24"/>
              <w:szCs w:val="24"/>
            </w:rPr>
            <w:t>99</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_Toc16534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6.3 资金投入计划和筹措方案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_Toc16534 \h </w:instrText>
          </w:r>
          <w:r>
            <w:rPr>
              <w:rFonts w:hint="eastAsia" w:ascii="宋体" w:hAnsi="宋体" w:eastAsia="宋体" w:cs="宋体"/>
              <w:sz w:val="24"/>
              <w:szCs w:val="24"/>
            </w:rPr>
            <w:fldChar w:fldCharType="separate"/>
          </w:r>
          <w:r>
            <w:rPr>
              <w:rFonts w:hint="eastAsia" w:ascii="宋体" w:hAnsi="宋体" w:eastAsia="宋体" w:cs="宋体"/>
              <w:sz w:val="24"/>
              <w:szCs w:val="24"/>
            </w:rPr>
            <w:t>110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_Toc16074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6.4 债务清偿能力分析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_Toc16074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_Toc15608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6.5 财务可持续性分析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_Toc15608 \h </w:instrText>
          </w:r>
          <w:r>
            <w:rPr>
              <w:rFonts w:hint="eastAsia" w:ascii="宋体" w:hAnsi="宋体" w:eastAsia="宋体" w:cs="宋体"/>
              <w:sz w:val="24"/>
              <w:szCs w:val="24"/>
            </w:rPr>
            <w:fldChar w:fldCharType="separate"/>
          </w:r>
          <w:r>
            <w:rPr>
              <w:rFonts w:hint="eastAsia" w:ascii="宋体" w:hAnsi="宋体" w:eastAsia="宋体" w:cs="宋体"/>
              <w:sz w:val="24"/>
              <w:szCs w:val="24"/>
            </w:rPr>
            <w:t>111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_Toc4731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第七章 项目影响效果分析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_Toc4731 \h </w:instrText>
          </w:r>
          <w:r>
            <w:rPr>
              <w:rFonts w:hint="eastAsia" w:ascii="宋体" w:hAnsi="宋体" w:eastAsia="宋体" w:cs="宋体"/>
              <w:sz w:val="24"/>
              <w:szCs w:val="24"/>
            </w:rPr>
            <w:fldChar w:fldCharType="separate"/>
          </w:r>
          <w:r>
            <w:rPr>
              <w:rFonts w:hint="eastAsia" w:ascii="宋体" w:hAnsi="宋体" w:eastAsia="宋体" w:cs="宋体"/>
              <w:sz w:val="24"/>
              <w:szCs w:val="24"/>
            </w:rPr>
            <w:t>112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_Toc12925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7.1 经济影响分析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_Toc12925 \h </w:instrText>
          </w:r>
          <w:r>
            <w:rPr>
              <w:rFonts w:hint="eastAsia" w:ascii="宋体" w:hAnsi="宋体" w:eastAsia="宋体" w:cs="宋体"/>
              <w:sz w:val="24"/>
              <w:szCs w:val="24"/>
            </w:rPr>
            <w:fldChar w:fldCharType="separate"/>
          </w:r>
          <w:r>
            <w:rPr>
              <w:rFonts w:hint="eastAsia" w:ascii="宋体" w:hAnsi="宋体" w:eastAsia="宋体" w:cs="宋体"/>
              <w:sz w:val="24"/>
              <w:szCs w:val="24"/>
            </w:rPr>
            <w:t>112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_Toc32454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7.2 社会影响分析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_Toc32454 \h </w:instrText>
          </w:r>
          <w:r>
            <w:rPr>
              <w:rFonts w:hint="eastAsia" w:ascii="宋体" w:hAnsi="宋体" w:eastAsia="宋体" w:cs="宋体"/>
              <w:sz w:val="24"/>
              <w:szCs w:val="24"/>
            </w:rPr>
            <w:fldChar w:fldCharType="separate"/>
          </w:r>
          <w:r>
            <w:rPr>
              <w:rFonts w:hint="eastAsia" w:ascii="宋体" w:hAnsi="宋体" w:eastAsia="宋体" w:cs="宋体"/>
              <w:sz w:val="24"/>
              <w:szCs w:val="24"/>
            </w:rPr>
            <w:t>118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_Toc11052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7.3 生态环境影响分析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_Toc11052 \h </w:instrText>
          </w:r>
          <w:r>
            <w:rPr>
              <w:rFonts w:hint="eastAsia" w:ascii="宋体" w:hAnsi="宋体" w:eastAsia="宋体" w:cs="宋体"/>
              <w:sz w:val="24"/>
              <w:szCs w:val="24"/>
            </w:rPr>
            <w:fldChar w:fldCharType="separate"/>
          </w:r>
          <w:r>
            <w:rPr>
              <w:rFonts w:hint="eastAsia" w:ascii="宋体" w:hAnsi="宋体" w:eastAsia="宋体" w:cs="宋体"/>
              <w:sz w:val="24"/>
              <w:szCs w:val="24"/>
            </w:rPr>
            <w:t>120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_Toc28583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7.4 资源和能源利用效果分析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_Toc28583 \h </w:instrText>
          </w:r>
          <w:r>
            <w:rPr>
              <w:rFonts w:hint="eastAsia" w:ascii="宋体" w:hAnsi="宋体" w:eastAsia="宋体" w:cs="宋体"/>
              <w:sz w:val="24"/>
              <w:szCs w:val="24"/>
            </w:rPr>
            <w:fldChar w:fldCharType="separate"/>
          </w:r>
          <w:r>
            <w:rPr>
              <w:rFonts w:hint="eastAsia" w:ascii="宋体" w:hAnsi="宋体" w:eastAsia="宋体" w:cs="宋体"/>
              <w:sz w:val="24"/>
              <w:szCs w:val="24"/>
            </w:rPr>
            <w:t>124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_Toc3292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7.5 碳达峰碳中和分析</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_Toc3292 \h </w:instrText>
          </w:r>
          <w:r>
            <w:rPr>
              <w:rFonts w:hint="eastAsia" w:ascii="宋体" w:hAnsi="宋体" w:eastAsia="宋体" w:cs="宋体"/>
              <w:sz w:val="24"/>
              <w:szCs w:val="24"/>
            </w:rPr>
            <w:fldChar w:fldCharType="separate"/>
          </w:r>
          <w:r>
            <w:rPr>
              <w:rFonts w:hint="eastAsia" w:ascii="宋体" w:hAnsi="宋体" w:eastAsia="宋体" w:cs="宋体"/>
              <w:sz w:val="24"/>
              <w:szCs w:val="24"/>
            </w:rPr>
            <w:t>128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_Toc24126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第八章 项目风险管控方案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_Toc24126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_Toc29768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8.1 风险识别与评价</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_Toc29768 \h </w:instrText>
          </w:r>
          <w:r>
            <w:rPr>
              <w:rFonts w:hint="eastAsia" w:ascii="宋体" w:hAnsi="宋体" w:eastAsia="宋体" w:cs="宋体"/>
              <w:sz w:val="24"/>
              <w:szCs w:val="24"/>
            </w:rPr>
            <w:fldChar w:fldCharType="separate"/>
          </w:r>
          <w:r>
            <w:rPr>
              <w:rFonts w:hint="eastAsia" w:ascii="宋体" w:hAnsi="宋体" w:eastAsia="宋体" w:cs="宋体"/>
              <w:sz w:val="24"/>
              <w:szCs w:val="24"/>
            </w:rPr>
            <w:t>130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_Toc17416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8.2 风险评估</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_Toc17416 \h </w:instrText>
          </w:r>
          <w:r>
            <w:rPr>
              <w:rFonts w:hint="eastAsia" w:ascii="宋体" w:hAnsi="宋体" w:eastAsia="宋体" w:cs="宋体"/>
              <w:sz w:val="24"/>
              <w:szCs w:val="24"/>
            </w:rPr>
            <w:fldChar w:fldCharType="separate"/>
          </w:r>
          <w:r>
            <w:rPr>
              <w:rFonts w:hint="eastAsia" w:ascii="宋体" w:hAnsi="宋体" w:eastAsia="宋体" w:cs="宋体"/>
              <w:sz w:val="24"/>
              <w:szCs w:val="24"/>
            </w:rPr>
            <w:t>131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_Toc19938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8.3 风险管控方案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_Toc19938 \h </w:instrText>
          </w:r>
          <w:r>
            <w:rPr>
              <w:rFonts w:hint="eastAsia" w:ascii="宋体" w:hAnsi="宋体" w:eastAsia="宋体" w:cs="宋体"/>
              <w:sz w:val="24"/>
              <w:szCs w:val="24"/>
            </w:rPr>
            <w:fldChar w:fldCharType="separate"/>
          </w:r>
          <w:r>
            <w:rPr>
              <w:rFonts w:hint="eastAsia" w:ascii="宋体" w:hAnsi="宋体" w:eastAsia="宋体" w:cs="宋体"/>
              <w:sz w:val="24"/>
              <w:szCs w:val="24"/>
            </w:rPr>
            <w:t>132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_Toc30960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8.4 重大风险管控应急预案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_Toc30960 \h </w:instrText>
          </w:r>
          <w:r>
            <w:rPr>
              <w:rFonts w:hint="eastAsia" w:ascii="宋体" w:hAnsi="宋体" w:eastAsia="宋体" w:cs="宋体"/>
              <w:sz w:val="24"/>
              <w:szCs w:val="24"/>
            </w:rPr>
            <w:fldChar w:fldCharType="separate"/>
          </w:r>
          <w:r>
            <w:rPr>
              <w:rFonts w:hint="eastAsia" w:ascii="宋体" w:hAnsi="宋体" w:eastAsia="宋体" w:cs="宋体"/>
              <w:sz w:val="24"/>
              <w:szCs w:val="24"/>
            </w:rPr>
            <w:t>134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_Toc16934 </w:instrText>
          </w:r>
          <w:r>
            <w:rPr>
              <w:rFonts w:hint="eastAsia" w:ascii="宋体" w:hAnsi="宋体" w:eastAsia="宋体" w:cs="宋体"/>
              <w:sz w:val="24"/>
              <w:szCs w:val="24"/>
            </w:rPr>
            <w:fldChar w:fldCharType="separate"/>
          </w:r>
          <w:r>
            <w:rPr>
              <w:rFonts w:hint="eastAsia" w:ascii="宋体" w:hAnsi="宋体" w:eastAsia="宋体" w:cs="宋体"/>
              <w:bCs/>
              <w:sz w:val="24"/>
              <w:szCs w:val="24"/>
            </w:rPr>
            <w:t>第九章 结论和建议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_Toc16934 \h </w:instrText>
          </w:r>
          <w:r>
            <w:rPr>
              <w:rFonts w:hint="eastAsia" w:ascii="宋体" w:hAnsi="宋体" w:eastAsia="宋体" w:cs="宋体"/>
              <w:sz w:val="24"/>
              <w:szCs w:val="24"/>
            </w:rPr>
            <w:fldChar w:fldCharType="separate"/>
          </w:r>
          <w:r>
            <w:rPr>
              <w:rFonts w:hint="eastAsia" w:ascii="宋体" w:hAnsi="宋体" w:eastAsia="宋体" w:cs="宋体"/>
              <w:sz w:val="24"/>
              <w:szCs w:val="24"/>
            </w:rPr>
            <w:t>136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_Toc23258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9.1 结论</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_Toc23258 \h </w:instrText>
          </w:r>
          <w:r>
            <w:rPr>
              <w:rFonts w:hint="eastAsia" w:ascii="宋体" w:hAnsi="宋体" w:eastAsia="宋体" w:cs="宋体"/>
              <w:sz w:val="24"/>
              <w:szCs w:val="24"/>
            </w:rPr>
            <w:fldChar w:fldCharType="separate"/>
          </w:r>
          <w:r>
            <w:rPr>
              <w:rFonts w:hint="eastAsia" w:ascii="宋体" w:hAnsi="宋体" w:eastAsia="宋体" w:cs="宋体"/>
              <w:sz w:val="24"/>
              <w:szCs w:val="24"/>
            </w:rPr>
            <w:t>136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2"/>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_Toc31084 </w:instrText>
          </w:r>
          <w:r>
            <w:rPr>
              <w:rFonts w:hint="eastAsia" w:ascii="宋体" w:hAnsi="宋体" w:eastAsia="宋体" w:cs="宋体"/>
              <w:sz w:val="24"/>
              <w:szCs w:val="24"/>
            </w:rPr>
            <w:fldChar w:fldCharType="separate"/>
          </w:r>
          <w:r>
            <w:rPr>
              <w:rFonts w:hint="eastAsia" w:ascii="宋体" w:hAnsi="宋体" w:eastAsia="宋体" w:cs="宋体"/>
              <w:bCs/>
              <w:sz w:val="24"/>
              <w:szCs w:val="24"/>
              <w:lang w:val="en-US" w:eastAsia="zh-CN"/>
            </w:rPr>
            <w:t>9.2 建议</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_Toc31084 \h </w:instrText>
          </w:r>
          <w:r>
            <w:rPr>
              <w:rFonts w:hint="eastAsia" w:ascii="宋体" w:hAnsi="宋体" w:eastAsia="宋体" w:cs="宋体"/>
              <w:sz w:val="24"/>
              <w:szCs w:val="24"/>
            </w:rPr>
            <w:fldChar w:fldCharType="separate"/>
          </w:r>
          <w:r>
            <w:rPr>
              <w:rFonts w:hint="eastAsia" w:ascii="宋体" w:hAnsi="宋体" w:eastAsia="宋体" w:cs="宋体"/>
              <w:sz w:val="24"/>
              <w:szCs w:val="24"/>
            </w:rPr>
            <w:t>136</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_Toc21143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附表1：建设投资估算表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_Toc21143 \h </w:instrText>
          </w:r>
          <w:r>
            <w:rPr>
              <w:rFonts w:hint="eastAsia" w:ascii="宋体" w:hAnsi="宋体" w:eastAsia="宋体" w:cs="宋体"/>
              <w:sz w:val="24"/>
              <w:szCs w:val="24"/>
            </w:rPr>
            <w:fldChar w:fldCharType="separate"/>
          </w:r>
          <w:r>
            <w:rPr>
              <w:rFonts w:hint="eastAsia" w:ascii="宋体" w:hAnsi="宋体" w:eastAsia="宋体" w:cs="宋体"/>
              <w:sz w:val="24"/>
              <w:szCs w:val="24"/>
            </w:rPr>
            <w:t>138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_Toc7071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附表2：固定资产折旧表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_Toc7071 \h </w:instrText>
          </w:r>
          <w:r>
            <w:rPr>
              <w:rFonts w:hint="eastAsia" w:ascii="宋体" w:hAnsi="宋体" w:eastAsia="宋体" w:cs="宋体"/>
              <w:sz w:val="24"/>
              <w:szCs w:val="24"/>
            </w:rPr>
            <w:fldChar w:fldCharType="separate"/>
          </w:r>
          <w:r>
            <w:rPr>
              <w:rFonts w:hint="eastAsia" w:ascii="宋体" w:hAnsi="宋体" w:eastAsia="宋体" w:cs="宋体"/>
              <w:sz w:val="24"/>
              <w:szCs w:val="24"/>
            </w:rPr>
            <w:t>142</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_Toc10595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附表3：营业收入及税金表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_Toc10595 \h </w:instrText>
          </w:r>
          <w:r>
            <w:rPr>
              <w:rFonts w:hint="eastAsia" w:ascii="宋体" w:hAnsi="宋体" w:eastAsia="宋体" w:cs="宋体"/>
              <w:sz w:val="24"/>
              <w:szCs w:val="24"/>
            </w:rPr>
            <w:fldChar w:fldCharType="separate"/>
          </w:r>
          <w:r>
            <w:rPr>
              <w:rFonts w:hint="eastAsia" w:ascii="宋体" w:hAnsi="宋体" w:eastAsia="宋体" w:cs="宋体"/>
              <w:sz w:val="24"/>
              <w:szCs w:val="24"/>
            </w:rPr>
            <w:t>144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_Toc21044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附表4：总成本费用表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_Toc21044 \h </w:instrText>
          </w:r>
          <w:r>
            <w:rPr>
              <w:rFonts w:hint="eastAsia" w:ascii="宋体" w:hAnsi="宋体" w:eastAsia="宋体" w:cs="宋体"/>
              <w:sz w:val="24"/>
              <w:szCs w:val="24"/>
            </w:rPr>
            <w:fldChar w:fldCharType="separate"/>
          </w:r>
          <w:r>
            <w:rPr>
              <w:rFonts w:hint="eastAsia" w:ascii="宋体" w:hAnsi="宋体" w:eastAsia="宋体" w:cs="宋体"/>
              <w:sz w:val="24"/>
              <w:szCs w:val="24"/>
            </w:rPr>
            <w:t>148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_Toc31574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附表5：利润及利润分配表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_Toc31574 \h </w:instrText>
          </w:r>
          <w:r>
            <w:rPr>
              <w:rFonts w:hint="eastAsia" w:ascii="宋体" w:hAnsi="宋体" w:eastAsia="宋体" w:cs="宋体"/>
              <w:sz w:val="24"/>
              <w:szCs w:val="24"/>
            </w:rPr>
            <w:fldChar w:fldCharType="separate"/>
          </w:r>
          <w:r>
            <w:rPr>
              <w:rFonts w:hint="eastAsia" w:ascii="宋体" w:hAnsi="宋体" w:eastAsia="宋体" w:cs="宋体"/>
              <w:sz w:val="24"/>
              <w:szCs w:val="24"/>
            </w:rPr>
            <w:t>150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_Toc1883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附表6：项目投资现金流量表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_Toc1883 \h </w:instrText>
          </w:r>
          <w:r>
            <w:rPr>
              <w:rFonts w:hint="eastAsia" w:ascii="宋体" w:hAnsi="宋体" w:eastAsia="宋体" w:cs="宋体"/>
              <w:sz w:val="24"/>
              <w:szCs w:val="24"/>
            </w:rPr>
            <w:fldChar w:fldCharType="separate"/>
          </w:r>
          <w:r>
            <w:rPr>
              <w:rFonts w:hint="eastAsia" w:ascii="宋体" w:hAnsi="宋体" w:eastAsia="宋体" w:cs="宋体"/>
              <w:sz w:val="24"/>
              <w:szCs w:val="24"/>
            </w:rPr>
            <w:t>154</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_Toc13946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附表7：还本付息表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_Toc13946 \h </w:instrText>
          </w:r>
          <w:r>
            <w:rPr>
              <w:rFonts w:hint="eastAsia" w:ascii="宋体" w:hAnsi="宋体" w:eastAsia="宋体" w:cs="宋体"/>
              <w:sz w:val="24"/>
              <w:szCs w:val="24"/>
            </w:rPr>
            <w:fldChar w:fldCharType="separate"/>
          </w:r>
          <w:r>
            <w:rPr>
              <w:rFonts w:hint="eastAsia" w:ascii="宋体" w:hAnsi="宋体" w:eastAsia="宋体" w:cs="宋体"/>
              <w:sz w:val="24"/>
              <w:szCs w:val="24"/>
            </w:rPr>
            <w:t>158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pStyle w:val="000011"/>
            <w:keepNext w:val="false"/>
            <w:keepLines w:val="false"/>
            <w:pageBreakBefore w:val="false"/>
            <w:widowControl/>
            <w:tabs>
              <w:tab w:val="right" w:leader="dot" w:pos="8306"/>
            </w:tabs>
            <w:kinsoku w:val="false"/>
            <w:wordWrap/>
            <w:overflowPunct/>
            <w:topLinePunct w:val="false"/>
            <w:autoSpaceDE w:val="false"/>
            <w:autoSpaceDN w:val="false"/>
            <w:bidi w:val="false"/>
            <w:adjustRightInd w:val="false"/>
            <w:snapToGrid w:val="false"/>
            <w:spacing w:line="360" w:lineRule="auto"/>
            <w:textAlignment w:val="baseline"/>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_Toc13125 </w:instrText>
          </w:r>
          <w:r>
            <w:rPr>
              <w:rFonts w:hint="eastAsia" w:ascii="宋体" w:hAnsi="宋体" w:eastAsia="宋体" w:cs="宋体"/>
              <w:sz w:val="24"/>
              <w:szCs w:val="24"/>
            </w:rPr>
            <w:fldChar w:fldCharType="separate"/>
          </w:r>
          <w:r>
            <w:rPr>
              <w:rFonts w:hint="eastAsia" w:ascii="宋体" w:hAnsi="宋体" w:eastAsia="宋体" w:cs="宋体"/>
              <w:bCs/>
              <w:i w:val="false"/>
              <w:iCs w:val="false"/>
              <w:kern w:val="0"/>
              <w:sz w:val="24"/>
              <w:szCs w:val="24"/>
              <w:lang w:val="en-US" w:eastAsia="zh-CN"/>
            </w:rPr>
            <w:t>附表8：大成包装2025年7月10日—2025年10月10日用电量统计</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_Toc13125 \h </w:instrText>
          </w:r>
          <w:r>
            <w:rPr>
              <w:rFonts w:hint="eastAsia" w:ascii="宋体" w:hAnsi="宋体" w:eastAsia="宋体" w:cs="宋体"/>
              <w:sz w:val="24"/>
              <w:szCs w:val="24"/>
            </w:rPr>
            <w:fldChar w:fldCharType="separate"/>
          </w:r>
          <w:r>
            <w:rPr>
              <w:rFonts w:hint="eastAsia" w:ascii="宋体" w:hAnsi="宋体" w:eastAsia="宋体" w:cs="宋体"/>
              <w:sz w:val="24"/>
              <w:szCs w:val="24"/>
            </w:rPr>
            <w:t>160</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pPr>
            <w:keepNext w:val="false"/>
            <w:keepLines w:val="false"/>
            <w:pageBreakBefore w:val="false"/>
            <w:widowControl/>
            <w:wordWrap/>
            <w:overflowPunct/>
            <w:topLinePunct w:val="false"/>
            <w:bidi w:val="false"/>
            <w:spacing w:line="360" w:lineRule="auto"/>
            <w:rPr>
              <w:b/>
            </w:rPr>
          </w:pPr>
          <w:r>
            <w:rPr>
              <w:rFonts w:hint="eastAsia" w:ascii="宋体" w:hAnsi="宋体" w:eastAsia="宋体" w:cs="宋体"/>
              <w:szCs w:val="24"/>
            </w:rPr>
            <w:fldChar w:fldCharType="end"/>
          </w:r>
        </w:p>
      </w:sdtContent>
    </w:sdt>
    <w:p>
      <w:pPr>
        <w:rPr>
          <w:b/>
        </w:rPr>
      </w:pPr>
    </w:p>
    <w:p>
      <w:pPr>
        <w:rPr/>
        <w:sectPr>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bookmarkStart w:id="6" w:name="_GoBack"/>
      <w:bookmarkEnd w:id="6"/>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7" w:name="_Toc10462"/>
      <w:r>
        <w:rPr>
          <w:rFonts w:hint="eastAsia" w:ascii="宋体" w:hAnsi="宋体" w:eastAsia="宋体" w:cs="宋体"/>
          <w:b/>
          <w:bCs/>
          <w:sz w:val="36"/>
          <w:szCs w:val="36"/>
        </w:rPr>
        <w:t>第一章 总论</w:t>
      </w:r>
      <w:bookmarkEnd w:id="3"/>
      <w:bookmarkEnd w:id="4"/>
      <w:bookmarkEnd w:id="5"/>
      <w:bookmarkEnd w:id="7"/>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8" w:name="_Toc18612"/>
      <w:bookmarkStart w:id="9" w:name="_Toc15962"/>
      <w:bookmarkStart w:id="10" w:name="_Toc1387"/>
      <w:bookmarkStart w:id="11" w:name="_Toc27673"/>
      <w:bookmarkStart w:id="12" w:name="_Toc13929"/>
      <w:r>
        <w:rPr>
          <w:rFonts w:hint="eastAsia" w:ascii="宋体" w:hAnsi="宋体" w:eastAsia="宋体" w:cs="宋体"/>
          <w:b/>
          <w:bCs/>
          <w:sz w:val="28"/>
          <w:szCs w:val="28"/>
          <w:lang w:val="en-US" w:eastAsia="zh-CN"/>
        </w:rPr>
        <w:t>1.1 项目概况</w:t>
      </w:r>
      <w:bookmarkEnd w:id="8"/>
      <w:bookmarkEnd w:id="9"/>
      <w:bookmarkEnd w:id="10"/>
      <w:bookmarkEnd w:id="11"/>
      <w:bookmarkEnd w:id="12"/>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1.1.1 项目名称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河南大成包装材料有限公司源网荷储一体化项目</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1.1.2 项目建设单位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单位名称：河南中原智慧冷链物流园管理运营有限公司</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1.1.3 建设地点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项目地点位于：新乡市获嘉县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w:t>
      </w:r>
    </w:p>
    <w:p>
      <w:pPr>
        <w:snapToGrid w:val="false"/>
        <w:spacing w:before="157" w:after="157" w:line="360" w:lineRule="auto"/>
        <w:ind w:right="0"/>
        <w:jc w:val="both"/>
        <w:rPr>
          <w:rFonts w:hint="eastAsia" w:eastAsia="宋体"/>
          <w:lang w:eastAsia="zh-CN"/>
        </w:rPr>
      </w:pPr>
      <w:r>
        <w:rPr>
          <w:rFonts w:hint="eastAsia" w:eastAsia="宋体"/>
          <w:lang w:eastAsia="zh-CN"/>
        </w:rPr>
        <w:drawing>
          <wp:inline distT="0" distB="0" distL="114300" distR="114300">
            <wp:extent cx="5264785" cy="2599055"/>
            <wp:effectExtent l="0" t="0" r="8255" b="6985"/>
            <wp:docPr id="8" name="图片 4" descr="项目所在地图"/>
            <wp:cNvGraphicFramePr>
              <a:graphicFrameLocks noChangeAspect="true"/>
            </wp:cNvGraphicFramePr>
            <a:graphic>
              <a:graphicData uri="http://schemas.openxmlformats.org/drawingml/2006/picture">
                <pic:pic>
                  <pic:nvPicPr>
                    <pic:cNvPr id="9" name="图片 4" descr="项目所在地图"/>
                    <pic:cNvPicPr>
                      <a:picLocks noChangeAspect="true"/>
                    </pic:cNvPicPr>
                  </pic:nvPicPr>
                  <pic:blipFill>
                    <a:blip r:embed="rId9"/>
                    <a:stretch>
                      <a:fillRect/>
                    </a:stretch>
                  </pic:blipFill>
                  <pic:spPr>
                    <a:xfrm>
                      <a:off x="0" y="0"/>
                      <a:ext cx="5264785" cy="2599055"/>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1.1.4 建设性质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1.1.5 项目建设内容和规模</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hint="default" w:ascii="宋体" w:hAnsi="宋体" w:eastAsia="宋体" w:cs="宋体"/>
          <w:i w:val="false"/>
          <w:strike w:val="false"/>
          <w:spacing w:val="0"/>
          <w:sz w:val="28"/>
          <w:u w:val="none"/>
          <w:lang w:val="en-US" w:eastAsia="zh-CN"/>
        </w:rPr>
      </w:pPr>
      <w:r>
        <w:rPr>
          <w:rFonts w:hint="eastAsia" w:ascii="宋体" w:hAnsi="宋体" w:eastAsia="宋体" w:cs="宋体"/>
          <w:i w:val="false"/>
          <w:strike w:val="false"/>
          <w:spacing w:val="0"/>
          <w:sz w:val="28"/>
          <w:u w:val="none"/>
          <w:lang w:val="en-US" w:eastAsia="zh-CN"/>
        </w:rPr>
        <w:t>1、建设内容及规模</w:t>
      </w:r>
    </w:p>
    <w:p>
      <w:pPr>
        <w:keepNext w:val="false"/>
        <w:keepLines w:val="false"/>
        <w:pageBreakBefore w:val="false"/>
        <w:widowControl w:val="false"/>
        <w:pBdr>
          <w:bottom w:val="none" w:color="auto" w:sz="0" w:space="0"/>
        </w:pBdr>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rPr>
        <w:t>河南大成包装材料有限公司源网荷储一体化项目分为两期建设，需要在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5956kW</w:t>
      </w:r>
      <w:r>
        <w:rPr>
          <w:rFonts w:ascii="宋体" w:hAnsi="宋体" w:eastAsia="宋体" w:cs="宋体"/>
          <w:i w:val="false"/>
          <w:strike w:val="false"/>
          <w:color w:val="000000"/>
          <w:spacing w:val="0"/>
          <w:sz w:val="28"/>
          <w:u w:val="none"/>
        </w:rPr>
        <w:t>的分布式光伏发电系统，并配套安装</w:t>
      </w:r>
      <w:r>
        <w:rPr>
          <w:rFonts w:hint="eastAsia" w:ascii="宋体" w:hAnsi="宋体" w:eastAsia="宋体" w:cs="宋体"/>
          <w:i w:val="false"/>
          <w:strike w:val="false"/>
          <w:color w:val="000000"/>
          <w:spacing w:val="0"/>
          <w:sz w:val="28"/>
          <w:u w:val="none"/>
        </w:rPr>
        <w:t>20</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rPr>
        <w:t>40</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w:t>
      </w:r>
      <w:r>
        <w:rPr>
          <w:rFonts w:hint="eastAsia" w:ascii="宋体" w:hAnsi="宋体" w:eastAsia="宋体" w:cs="宋体"/>
          <w:i w:val="false"/>
          <w:strike w:val="false"/>
          <w:color w:val="000000"/>
          <w:spacing w:val="0"/>
          <w:sz w:val="28"/>
          <w:u w:val="none"/>
          <w:lang w:eastAsia="zh-CN"/>
        </w:rPr>
        <w:t>kW</w:t>
      </w:r>
      <w:r>
        <w:rPr>
          <w:rFonts w:ascii="宋体" w:hAnsi="宋体" w:eastAsia="宋体" w:cs="宋体"/>
          <w:i w:val="false"/>
          <w:strike w:val="false"/>
          <w:color w:val="000000"/>
          <w:spacing w:val="0"/>
          <w:sz w:val="28"/>
          <w:u w:val="none"/>
        </w:rPr>
        <w:t>液冷光伏充电桩，同步实施园区其他相关配套工程</w:t>
      </w:r>
      <w:r>
        <w:rPr>
          <w:rFonts w:hint="eastAsia"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rPr>
      </w:pPr>
      <w:r>
        <w:rPr>
          <w:rFonts w:hint="eastAsia" w:ascii="宋体" w:hAnsi="宋体" w:eastAsia="宋体" w:cs="宋体"/>
          <w:i w:val="false"/>
          <w:strike w:val="false"/>
          <w:color w:val="000000"/>
          <w:spacing w:val="0"/>
          <w:sz w:val="28"/>
          <w:u w:val="none"/>
        </w:rPr>
        <w:t>本项目为（一期）建设内容，需要在</w:t>
      </w:r>
      <w:r>
        <w:rPr>
          <w:rFonts w:hint="eastAsia" w:ascii="宋体" w:hAnsi="宋体" w:eastAsia="宋体" w:cs="宋体"/>
          <w:i w:val="false"/>
          <w:strike w:val="false"/>
          <w:color w:val="000000"/>
          <w:spacing w:val="0"/>
          <w:sz w:val="28"/>
          <w:u w:val="none"/>
          <w:lang w:val="en-US" w:eastAsia="zh-CN"/>
        </w:rPr>
        <w:t>获嘉</w:t>
      </w:r>
      <w:r>
        <w:rPr>
          <w:rFonts w:hint="eastAsia" w:ascii="宋体" w:hAnsi="宋体" w:eastAsia="宋体" w:cs="宋体"/>
          <w:snapToGrid/>
          <w:color w:val="000000"/>
          <w:spacing w:val="0"/>
          <w:w w:val="100"/>
          <w:kern w:val="2"/>
          <w:position w:val="0"/>
          <w:sz w:val="28"/>
          <w:szCs w:val="28"/>
          <w:lang w:val="en-US" w:eastAsia="zh-CN" w:bidi="zh-CN"/>
        </w:rPr>
        <w:t>县产业集聚区创业孵化</w:t>
      </w:r>
      <w:r>
        <w:rPr>
          <w:rFonts w:ascii="宋体" w:hAnsi="宋体" w:eastAsia="宋体" w:cs="宋体"/>
          <w:i w:val="false"/>
          <w:strike w:val="false"/>
          <w:color w:val="000000"/>
          <w:spacing w:val="0"/>
          <w:sz w:val="28"/>
          <w:u w:val="none"/>
        </w:rPr>
        <w:t>园区内工业厂房屋顶部署</w:t>
      </w:r>
      <w:r>
        <w:rPr>
          <w:rFonts w:hint="eastAsia" w:ascii="宋体" w:hAnsi="宋体" w:eastAsia="宋体" w:cs="宋体"/>
          <w:i w:val="false"/>
          <w:strike w:val="false"/>
          <w:color w:val="000000"/>
          <w:spacing w:val="0"/>
          <w:sz w:val="28"/>
          <w:u w:val="none"/>
          <w:lang w:val="en-US" w:eastAsia="zh-CN"/>
        </w:rPr>
        <w:t>5956kW</w:t>
      </w:r>
      <w:r>
        <w:rPr>
          <w:rFonts w:ascii="宋体" w:hAnsi="宋体" w:eastAsia="宋体" w:cs="宋体"/>
          <w:i w:val="false"/>
          <w:strike w:val="false"/>
          <w:color w:val="000000"/>
          <w:spacing w:val="0"/>
          <w:sz w:val="28"/>
          <w:u w:val="none"/>
        </w:rPr>
        <w:t>的分布式光伏发电系统，并配套安装</w:t>
      </w:r>
      <w:r>
        <w:rPr>
          <w:rFonts w:hint="eastAsia" w:ascii="宋体" w:hAnsi="宋体" w:eastAsia="宋体" w:cs="宋体"/>
          <w:i w:val="false"/>
          <w:strike w:val="false"/>
          <w:color w:val="000000"/>
          <w:spacing w:val="0"/>
          <w:sz w:val="28"/>
          <w:u w:val="none"/>
          <w:lang w:val="en-US" w:eastAsia="zh-CN"/>
        </w:rPr>
        <w:t>8.5</w:t>
      </w:r>
      <w:r>
        <w:rPr>
          <w:rFonts w:ascii="宋体" w:hAnsi="宋体" w:eastAsia="宋体" w:cs="宋体"/>
          <w:i w:val="false"/>
          <w:strike w:val="false"/>
          <w:color w:val="000000"/>
          <w:spacing w:val="0"/>
          <w:sz w:val="28"/>
          <w:u w:val="none"/>
        </w:rPr>
        <w:t>MW/</w:t>
      </w:r>
      <w:r>
        <w:rPr>
          <w:rFonts w:hint="eastAsia" w:ascii="宋体" w:hAnsi="宋体" w:eastAsia="宋体" w:cs="宋体"/>
          <w:i w:val="false"/>
          <w:strike w:val="false"/>
          <w:color w:val="000000"/>
          <w:spacing w:val="0"/>
          <w:sz w:val="28"/>
          <w:u w:val="none"/>
          <w:lang w:val="en-US" w:eastAsia="zh-CN"/>
        </w:rPr>
        <w:t>17</w:t>
      </w:r>
      <w:r>
        <w:rPr>
          <w:rFonts w:ascii="宋体" w:hAnsi="宋体" w:eastAsia="宋体" w:cs="宋体"/>
          <w:i w:val="false"/>
          <w:strike w:val="false"/>
          <w:color w:val="000000"/>
          <w:spacing w:val="0"/>
          <w:sz w:val="28"/>
          <w:u w:val="none"/>
        </w:rPr>
        <w:t>MWh用户侧储能设施</w:t>
      </w:r>
      <w:r>
        <w:rPr>
          <w:rFonts w:hint="eastAsia" w:ascii="宋体" w:hAnsi="宋体" w:eastAsia="宋体" w:cs="宋体"/>
          <w:i w:val="false"/>
          <w:strike w:val="false"/>
          <w:color w:val="000000"/>
          <w:spacing w:val="0"/>
          <w:sz w:val="28"/>
          <w:u w:val="none"/>
        </w:rPr>
        <w:t>（包含3MW充换点储能设备）</w:t>
      </w:r>
      <w:r>
        <w:rPr>
          <w:rFonts w:ascii="宋体" w:hAnsi="宋体" w:eastAsia="宋体" w:cs="宋体"/>
          <w:i w:val="false"/>
          <w:strike w:val="false"/>
          <w:color w:val="000000"/>
          <w:spacing w:val="0"/>
          <w:sz w:val="28"/>
          <w:u w:val="none"/>
        </w:rPr>
        <w:t>，安装</w:t>
      </w:r>
      <w:r>
        <w:rPr>
          <w:rFonts w:hint="eastAsia" w:ascii="宋体" w:hAnsi="宋体" w:eastAsia="宋体" w:cs="宋体"/>
          <w:i w:val="false"/>
          <w:strike w:val="false"/>
          <w:color w:val="000000"/>
          <w:spacing w:val="0"/>
          <w:sz w:val="28"/>
          <w:u w:val="none"/>
          <w:lang w:val="en-US" w:eastAsia="zh-CN"/>
        </w:rPr>
        <w:t>5</w:t>
      </w:r>
      <w:r>
        <w:rPr>
          <w:rFonts w:ascii="宋体" w:hAnsi="宋体" w:eastAsia="宋体" w:cs="宋体"/>
          <w:i w:val="false"/>
          <w:strike w:val="false"/>
          <w:color w:val="000000"/>
          <w:spacing w:val="0"/>
          <w:sz w:val="28"/>
          <w:u w:val="none"/>
        </w:rPr>
        <w:t>个600</w:t>
      </w:r>
      <w:r>
        <w:rPr>
          <w:rFonts w:hint="eastAsia" w:ascii="宋体" w:hAnsi="宋体" w:eastAsia="宋体" w:cs="宋体"/>
          <w:i w:val="false"/>
          <w:strike w:val="false"/>
          <w:color w:val="000000"/>
          <w:spacing w:val="0"/>
          <w:sz w:val="28"/>
          <w:u w:val="none"/>
          <w:lang w:eastAsia="zh-CN"/>
        </w:rPr>
        <w:t>kW</w:t>
      </w:r>
      <w:r>
        <w:rPr>
          <w:rFonts w:ascii="宋体" w:hAnsi="宋体" w:eastAsia="宋体" w:cs="宋体"/>
          <w:i w:val="false"/>
          <w:strike w:val="false"/>
          <w:color w:val="000000"/>
          <w:spacing w:val="0"/>
          <w:sz w:val="28"/>
          <w:u w:val="none"/>
        </w:rPr>
        <w:t>液冷光伏充电桩，同步实施园区其他相关配套工程</w:t>
      </w:r>
      <w:r>
        <w:rPr>
          <w:rFonts w:hint="eastAsia" w:ascii="宋体" w:hAnsi="宋体" w:eastAsia="宋体" w:cs="宋体"/>
          <w:i w:val="false"/>
          <w:strike w:val="false"/>
          <w:color w:val="000000"/>
          <w:spacing w:val="0"/>
          <w:sz w:val="28"/>
          <w:u w:val="none"/>
        </w:rPr>
        <w:t>，</w:t>
      </w:r>
      <w:r>
        <w:rPr>
          <w:rFonts w:hint="eastAsia" w:ascii="宋体" w:hAnsi="宋体" w:eastAsia="宋体" w:cs="宋体"/>
          <w:i w:val="false"/>
          <w:strike w:val="false"/>
          <w:color w:val="000000"/>
          <w:spacing w:val="0"/>
          <w:sz w:val="28"/>
          <w:u w:val="none"/>
          <w:lang w:eastAsia="zh-CN"/>
        </w:rPr>
        <w:t>利用</w:t>
      </w:r>
      <w:r>
        <w:rPr>
          <w:rFonts w:ascii="宋体" w:hAnsi="宋体" w:eastAsia="宋体" w:cs="宋体"/>
          <w:i w:val="false"/>
          <w:strike w:val="false"/>
          <w:color w:val="000000"/>
          <w:spacing w:val="0"/>
          <w:sz w:val="28"/>
          <w:u w:val="none"/>
        </w:rPr>
        <w:t>源网荷储</w:t>
      </w:r>
      <w:r>
        <w:rPr>
          <w:rFonts w:hint="eastAsia" w:ascii="宋体" w:hAnsi="宋体" w:eastAsia="宋体" w:cs="宋体"/>
          <w:i w:val="false"/>
          <w:strike w:val="false"/>
          <w:color w:val="000000"/>
          <w:spacing w:val="0"/>
          <w:sz w:val="28"/>
          <w:u w:val="none"/>
        </w:rPr>
        <w:t>模式为</w:t>
      </w:r>
      <w:r>
        <w:rPr>
          <w:rFonts w:ascii="宋体" w:hAnsi="宋体" w:eastAsia="宋体" w:cs="宋体"/>
          <w:i w:val="false"/>
          <w:strike w:val="false"/>
          <w:color w:val="000000"/>
          <w:spacing w:val="0"/>
          <w:sz w:val="28"/>
          <w:u w:val="none"/>
        </w:rPr>
        <w:t>河南大成包装材料有限公司</w:t>
      </w:r>
      <w:r>
        <w:rPr>
          <w:rFonts w:hint="eastAsia" w:ascii="宋体" w:hAnsi="宋体" w:eastAsia="宋体" w:cs="宋体"/>
          <w:i w:val="false"/>
          <w:strike w:val="false"/>
          <w:color w:val="000000"/>
          <w:spacing w:val="0"/>
          <w:sz w:val="28"/>
          <w:u w:val="none"/>
        </w:rPr>
        <w:t>提供绿色电力能源供应</w:t>
      </w:r>
      <w:r>
        <w:rPr>
          <w:rFonts w:hint="eastAsia" w:ascii="宋体" w:hAnsi="宋体" w:eastAsia="宋体" w:cs="宋体"/>
          <w:i w:val="false"/>
          <w:strike w:val="false"/>
          <w:color w:val="000000"/>
          <w:spacing w:val="0"/>
          <w:sz w:val="28"/>
          <w:u w:val="none"/>
          <w:lang w:eastAsia="zh-CN"/>
        </w:rPr>
        <w:t>；</w:t>
      </w:r>
      <w:r>
        <w:rPr>
          <w:rFonts w:hint="eastAsia" w:ascii="宋体" w:hAnsi="宋体" w:eastAsia="宋体" w:cs="宋体"/>
          <w:i w:val="false"/>
          <w:strike w:val="false"/>
          <w:color w:val="000000"/>
          <w:spacing w:val="0"/>
          <w:sz w:val="28"/>
          <w:u w:val="none"/>
          <w:lang w:val="en-US" w:eastAsia="zh-CN"/>
        </w:rPr>
        <w:t>二</w:t>
      </w:r>
      <w:r>
        <w:rPr>
          <w:rFonts w:ascii="宋体" w:hAnsi="宋体" w:eastAsia="宋体" w:cs="宋体"/>
          <w:i w:val="false"/>
          <w:strike w:val="false"/>
          <w:color w:val="000000"/>
          <w:spacing w:val="0"/>
          <w:sz w:val="28"/>
          <w:u w:val="none"/>
        </w:rPr>
        <w:t>期将建</w:t>
      </w:r>
      <w:r>
        <w:rPr>
          <w:rFonts w:hint="eastAsia" w:ascii="宋体" w:hAnsi="宋体" w:eastAsia="宋体" w:cs="宋体"/>
          <w:i w:val="false"/>
          <w:strike w:val="false"/>
          <w:color w:val="000000"/>
          <w:spacing w:val="0"/>
          <w:sz w:val="28"/>
          <w:u w:val="none"/>
        </w:rPr>
        <w:t>2</w:t>
      </w:r>
      <w:r>
        <w:rPr>
          <w:rFonts w:hint="eastAsia" w:ascii="宋体" w:hAnsi="宋体" w:eastAsia="宋体" w:cs="宋体"/>
          <w:i w:val="false"/>
          <w:strike w:val="false"/>
          <w:color w:val="000000"/>
          <w:spacing w:val="0"/>
          <w:sz w:val="28"/>
          <w:u w:val="none"/>
          <w:lang w:val="en-US" w:eastAsia="zh-CN"/>
        </w:rPr>
        <w:t>3</w:t>
      </w:r>
      <w:r>
        <w:rPr>
          <w:rFonts w:ascii="宋体" w:hAnsi="宋体" w:eastAsia="宋体" w:cs="宋体"/>
          <w:i w:val="false"/>
          <w:strike w:val="false"/>
          <w:color w:val="000000"/>
          <w:spacing w:val="0"/>
          <w:sz w:val="28"/>
          <w:u w:val="none"/>
        </w:rPr>
        <w:t>MWh储能设施，与一期衔接提升能源调节与保障能力，助</w:t>
      </w:r>
      <w:r>
        <w:rPr>
          <w:rFonts w:hint="eastAsia" w:ascii="宋体" w:hAnsi="宋体" w:eastAsia="宋体" w:cs="宋体"/>
          <w:i w:val="false"/>
          <w:strike w:val="false"/>
          <w:color w:val="000000"/>
          <w:spacing w:val="0"/>
          <w:sz w:val="28"/>
          <w:u w:val="none"/>
          <w:lang w:val="en-US" w:eastAsia="zh-CN"/>
        </w:rPr>
        <w:t>力</w:t>
      </w:r>
      <w:r>
        <w:rPr>
          <w:rFonts w:ascii="宋体" w:hAnsi="宋体" w:eastAsia="宋体" w:cs="宋体"/>
          <w:i w:val="false"/>
          <w:strike w:val="false"/>
          <w:color w:val="000000"/>
          <w:spacing w:val="0"/>
          <w:sz w:val="28"/>
          <w:u w:val="none"/>
        </w:rPr>
        <w:t>园区能源优化</w:t>
      </w:r>
      <w:r>
        <w:rPr>
          <w:rFonts w:hint="eastAsia" w:ascii="宋体" w:hAnsi="宋体" w:eastAsia="宋体" w:cs="宋体"/>
          <w:i w:val="false"/>
          <w:strike w:val="false"/>
          <w:color w:val="000000"/>
          <w:spacing w:val="0"/>
          <w:sz w:val="28"/>
          <w:u w:val="none"/>
        </w:rPr>
        <w:t>。</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hint="default" w:ascii="宋体" w:hAnsi="宋体" w:eastAsia="宋体" w:cs="宋体"/>
          <w:i w:val="false"/>
          <w:strike w:val="false"/>
          <w:color w:val="000000"/>
          <w:spacing w:val="0"/>
          <w:sz w:val="28"/>
          <w:u w:val="none"/>
          <w:lang w:val="en-US" w:eastAsia="zh-CN"/>
        </w:rPr>
      </w:pPr>
      <w:r>
        <w:rPr>
          <w:rFonts w:hint="eastAsia" w:ascii="宋体" w:hAnsi="宋体" w:eastAsia="宋体" w:cs="宋体"/>
          <w:i w:val="false"/>
          <w:strike w:val="false"/>
          <w:color w:val="000000"/>
          <w:spacing w:val="0"/>
          <w:sz w:val="28"/>
          <w:u w:val="none"/>
          <w:lang w:val="en-US" w:eastAsia="zh-CN"/>
        </w:rPr>
        <w:t>2、光伏储能设备可占用屋顶及闲置空地面积</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项目规划利用获嘉县产业集聚区中小企业创业孵化园项目屋顶</w:t>
      </w:r>
      <w:r>
        <w:rPr>
          <w:rFonts w:hint="eastAsia" w:ascii="宋体" w:hAnsi="宋体" w:eastAsia="宋体" w:cs="宋体"/>
          <w:i w:val="false"/>
          <w:strike w:val="false"/>
          <w:color w:val="000000"/>
          <w:spacing w:val="0"/>
          <w:sz w:val="28"/>
          <w:u w:val="none"/>
        </w:rPr>
        <w:t>及闲置空地建设安装分布式光伏发电设备，可用屋顶</w:t>
      </w:r>
      <w:r>
        <w:rPr>
          <w:rFonts w:ascii="宋体" w:hAnsi="宋体" w:eastAsia="宋体" w:cs="宋体"/>
          <w:i w:val="false"/>
          <w:strike w:val="false"/>
          <w:color w:val="000000"/>
          <w:spacing w:val="0"/>
          <w:sz w:val="28"/>
          <w:u w:val="none"/>
        </w:rPr>
        <w:t>面积</w:t>
      </w:r>
      <w:r>
        <w:rPr>
          <w:rFonts w:hint="eastAsia" w:ascii="宋体" w:hAnsi="宋体" w:eastAsia="宋体" w:cs="宋体"/>
          <w:i w:val="false"/>
          <w:strike w:val="false"/>
          <w:color w:val="000000"/>
          <w:spacing w:val="0"/>
          <w:sz w:val="28"/>
          <w:u w:val="none"/>
        </w:rPr>
        <w:t>约</w:t>
      </w:r>
      <w:r>
        <w:rPr>
          <w:rFonts w:ascii="宋体" w:hAnsi="宋体" w:eastAsia="宋体" w:cs="宋体"/>
          <w:i w:val="false"/>
          <w:strike w:val="false"/>
          <w:color w:val="000000"/>
          <w:spacing w:val="0"/>
          <w:sz w:val="28"/>
          <w:u w:val="none"/>
        </w:rPr>
        <w:t>为31530.09㎡，园区内可使用</w:t>
      </w:r>
      <w:r>
        <w:rPr>
          <w:rFonts w:hint="eastAsia" w:ascii="宋体" w:hAnsi="宋体" w:eastAsia="宋体" w:cs="宋体"/>
          <w:i w:val="false"/>
          <w:strike w:val="false"/>
          <w:color w:val="000000"/>
          <w:spacing w:val="0"/>
          <w:sz w:val="28"/>
          <w:u w:val="none"/>
        </w:rPr>
        <w:t>闲置空地</w:t>
      </w:r>
      <w:r>
        <w:rPr>
          <w:rFonts w:ascii="宋体" w:hAnsi="宋体" w:eastAsia="宋体" w:cs="宋体"/>
          <w:i w:val="false"/>
          <w:strike w:val="false"/>
          <w:color w:val="000000"/>
          <w:spacing w:val="0"/>
          <w:sz w:val="28"/>
          <w:u w:val="none"/>
        </w:rPr>
        <w:t>面积</w:t>
      </w:r>
      <w:r>
        <w:rPr>
          <w:rFonts w:hint="eastAsia" w:ascii="宋体" w:hAnsi="宋体" w:eastAsia="宋体" w:cs="宋体"/>
          <w:i w:val="false"/>
          <w:strike w:val="false"/>
          <w:color w:val="000000"/>
          <w:spacing w:val="0"/>
          <w:sz w:val="28"/>
          <w:u w:val="none"/>
        </w:rPr>
        <w:t>约</w:t>
      </w:r>
      <w:r>
        <w:rPr>
          <w:rFonts w:ascii="宋体" w:hAnsi="宋体" w:eastAsia="宋体" w:cs="宋体"/>
          <w:i w:val="false"/>
          <w:strike w:val="false"/>
          <w:color w:val="000000"/>
          <w:spacing w:val="0"/>
          <w:sz w:val="28"/>
          <w:u w:val="none"/>
        </w:rPr>
        <w:t>为12267.68㎡，合计可使用面积为42807.95㎡。</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建设参数表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2541"/>
        <w:gridCol w:w="1419"/>
        <w:gridCol w:w="1504"/>
        <w:gridCol w:w="1956"/>
      </w:tblGrid>
      <w:tr>
        <w:trPr>
          <w:trHeight w:val="476" w:hRule="atLeast"/>
          <w:tblHeader/>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序号</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i w:val="false"/>
                <w:strike w:val="false"/>
                <w:color w:val="000000"/>
                <w:spacing w:val="0"/>
                <w:sz w:val="21"/>
                <w:szCs w:val="21"/>
                <w:u w:val="none"/>
                <w:vertAlign w:val="baseline"/>
              </w:rPr>
              <w:t>名称</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单位</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数量</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b/>
                <w:sz w:val="21"/>
                <w:szCs w:val="21"/>
              </w:rPr>
            </w:pPr>
            <w:r>
              <w:rPr>
                <w:rFonts w:ascii="宋体" w:hAnsi="宋体" w:eastAsia="宋体" w:cs="宋体"/>
                <w:b/>
                <w:sz w:val="21"/>
                <w:szCs w:val="21"/>
              </w:rPr>
              <w:t>备注</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1</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sz w:val="21"/>
                <w:szCs w:val="21"/>
              </w:rPr>
              <w:t>光伏发电设备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lang w:eastAsia="zh-CN"/>
              </w:rPr>
              <w:t>kW</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r>
              <w:rPr>
                <w:rFonts w:ascii="宋体" w:hAnsi="宋体" w:eastAsia="宋体" w:cs="宋体"/>
                <w:i w:val="false"/>
                <w:strike w:val="false"/>
                <w:color w:val="000000"/>
                <w:spacing w:val="0"/>
                <w:sz w:val="21"/>
                <w:szCs w:val="21"/>
                <w:u w:val="none"/>
                <w:vertAlign w:val="baseline"/>
              </w:rPr>
              <w:t>595</w:t>
            </w:r>
            <w:r>
              <w:rPr>
                <w:rFonts w:hint="eastAsia" w:ascii="宋体" w:hAnsi="宋体" w:eastAsia="宋体" w:cs="宋体"/>
                <w:i w:val="false"/>
                <w:strike w:val="false"/>
                <w:color w:val="000000"/>
                <w:spacing w:val="0"/>
                <w:sz w:val="21"/>
                <w:szCs w:val="21"/>
                <w:u w:val="none"/>
                <w:vertAlign w:val="baseline"/>
                <w:lang w:val="en-US" w:eastAsia="zh-CN"/>
              </w:rPr>
              <w:t>6</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sz w:val="21"/>
                <w:szCs w:val="21"/>
              </w:rPr>
            </w:pP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2</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储能设备</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MW/MWh</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hint="eastAsia" w:ascii="宋体" w:hAnsi="宋体" w:eastAsia="宋体" w:cs="宋体"/>
                <w:i w:val="false"/>
                <w:strike w:val="false"/>
                <w:color w:val="000000"/>
                <w:spacing w:val="0"/>
                <w:sz w:val="21"/>
                <w:szCs w:val="21"/>
                <w:u w:val="none"/>
                <w:vertAlign w:val="baseline"/>
                <w:lang w:val="en-US" w:eastAsia="zh-CN"/>
              </w:rPr>
              <w:t>15</w:t>
            </w:r>
            <w:r>
              <w:rPr>
                <w:rFonts w:ascii="宋体" w:hAnsi="宋体" w:eastAsia="宋体" w:cs="宋体"/>
                <w:i w:val="false"/>
                <w:strike w:val="false"/>
                <w:color w:val="000000"/>
                <w:spacing w:val="0"/>
                <w:sz w:val="21"/>
                <w:szCs w:val="21"/>
                <w:u w:val="none"/>
                <w:vertAlign w:val="baseline"/>
              </w:rPr>
              <w:t>/</w:t>
            </w:r>
            <w:r>
              <w:rPr>
                <w:rFonts w:hint="eastAsia" w:ascii="宋体" w:hAnsi="宋体" w:eastAsia="宋体" w:cs="宋体"/>
                <w:i w:val="false"/>
                <w:strike w:val="false"/>
                <w:color w:val="000000"/>
                <w:spacing w:val="0"/>
                <w:sz w:val="21"/>
                <w:szCs w:val="21"/>
                <w:u w:val="none"/>
                <w:vertAlign w:val="baseline"/>
                <w:lang w:val="en-US" w:eastAsia="zh-CN"/>
              </w:rPr>
              <w:t>3</w:t>
            </w:r>
            <w:r>
              <w:rPr>
                <w:rFonts w:ascii="宋体" w:hAnsi="宋体" w:eastAsia="宋体" w:cs="宋体"/>
                <w:i w:val="false"/>
                <w:strike w:val="false"/>
                <w:color w:val="000000"/>
                <w:spacing w:val="0"/>
                <w:sz w:val="21"/>
                <w:szCs w:val="21"/>
                <w:u w:val="none"/>
                <w:vertAlign w:val="baseline"/>
              </w:rPr>
              <w:t>0</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包含3MW储能换电模块</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3</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占用工业厂房屋顶面积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31530.09</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每MW占用屋顶面积约7000</w:t>
            </w:r>
            <w:r>
              <w:rPr>
                <w:rFonts w:ascii="宋体" w:hAnsi="宋体" w:eastAsia="宋体" w:cs="宋体"/>
                <w:i w:val="false"/>
                <w:strike w:val="false"/>
                <w:color w:val="000000"/>
                <w:spacing w:val="0"/>
                <w:sz w:val="21"/>
                <w:szCs w:val="21"/>
                <w:u w:val="none"/>
                <w:vertAlign w:val="baseline"/>
              </w:rPr>
              <w:t>㎡</w:t>
            </w:r>
          </w:p>
        </w:tc>
      </w:tr>
      <w:tr>
        <w:trPr>
          <w:trHeight w:val="476" w:hRule="atLeast"/>
        </w:trPr>
        <w:tc>
          <w:tcPr>
            <w:tcW w:w="1023"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4</w:t>
            </w:r>
          </w:p>
        </w:tc>
        <w:tc>
          <w:tcPr>
            <w:tcW w:w="2541"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可使用</w:t>
            </w:r>
            <w:r>
              <w:rPr>
                <w:rFonts w:hint="eastAsia" w:ascii="宋体" w:hAnsi="宋体" w:eastAsia="宋体" w:cs="宋体"/>
                <w:color w:val="000000"/>
                <w:sz w:val="21"/>
                <w:szCs w:val="21"/>
                <w:lang w:val="en-US" w:eastAsia="zh-CN"/>
              </w:rPr>
              <w:t>道路</w:t>
            </w:r>
            <w:r>
              <w:rPr>
                <w:rFonts w:ascii="宋体" w:hAnsi="宋体" w:eastAsia="宋体" w:cs="宋体"/>
                <w:color w:val="000000"/>
                <w:sz w:val="21"/>
                <w:szCs w:val="21"/>
              </w:rPr>
              <w:t>区域占用面积</w:t>
            </w:r>
          </w:p>
        </w:tc>
        <w:tc>
          <w:tcPr>
            <w:tcW w:w="1419"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vertAlign w:val="baseline"/>
              </w:rPr>
              <w:t>㎡</w:t>
            </w:r>
          </w:p>
        </w:tc>
        <w:tc>
          <w:tcPr>
            <w:tcW w:w="1504"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i w:val="false"/>
                <w:strike w:val="false"/>
                <w:color w:val="000000"/>
                <w:spacing w:val="0"/>
                <w:sz w:val="21"/>
                <w:szCs w:val="21"/>
                <w:u w:val="none"/>
              </w:rPr>
              <w:t>12267.68</w:t>
            </w:r>
          </w:p>
        </w:tc>
        <w:tc>
          <w:tcPr>
            <w:tcW w:w="1956"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0" w:type="dxa"/>
              <w:left w:w="108" w:type="dxa"/>
              <w:bottom w:w="0" w:type="dxa"/>
              <w:right w:w="108" w:type="dxa"/>
            </w:tcMar>
            <w:vAlign w:val="center"/>
          </w:tcPr>
          <w:p>
            <w:pPr>
              <w:widowControl w:val="false"/>
              <w:snapToGrid/>
              <w:spacing w:before="0" w:after="0" w:line="240" w:lineRule="auto"/>
              <w:jc w:val="center"/>
              <w:rPr>
                <w:rFonts w:ascii="宋体" w:hAnsi="宋体" w:eastAsia="宋体" w:cs="宋体"/>
                <w:color w:val="000000"/>
                <w:sz w:val="21"/>
                <w:szCs w:val="21"/>
              </w:rPr>
            </w:pPr>
            <w:r>
              <w:rPr>
                <w:rFonts w:ascii="宋体" w:hAnsi="宋体" w:eastAsia="宋体" w:cs="宋体"/>
                <w:color w:val="000000"/>
                <w:sz w:val="21"/>
                <w:szCs w:val="21"/>
              </w:rPr>
              <w:t>每MW占用空闲区域面积约7000</w:t>
            </w:r>
            <w:r>
              <w:rPr>
                <w:rFonts w:ascii="宋体" w:hAnsi="宋体" w:eastAsia="宋体" w:cs="宋体"/>
                <w:i w:val="false"/>
                <w:strike w:val="false"/>
                <w:color w:val="000000"/>
                <w:spacing w:val="0"/>
                <w:sz w:val="21"/>
                <w:szCs w:val="21"/>
                <w:u w:val="none"/>
                <w:vertAlign w:val="baseline"/>
              </w:rPr>
              <w:t>㎡</w:t>
            </w:r>
          </w:p>
        </w:tc>
      </w:tr>
    </w:tbl>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1.1.6 建设工期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本项目建设期为0.5年（含建设期准备工作），计划2025年3月开工，预计2026年10月竣工。其中，建设期后0.5年开始运营。</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1.1.7 投资规模和资金来源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总投资5304.18万元，其中项目工程费用4770.32万元，占总投资的89.94%；工程建设其它费用236.28万元，占总投资的4.45%；预备费250.33万元，占总投资的4.72%；建设期利息47.25万元，占总投资的0.89%。项目投资构成如下表所示:</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项目总投资构成一览表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7902.57</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90.13</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19.48%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5099.70</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58.16%</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1094.22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12.48%</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372.52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4.25</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413.75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4.72</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78.75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0.90</w:t>
            </w:r>
            <w:r>
              <w:rPr>
                <w:rFonts w:hint="eastAsia" w:ascii="宋体" w:hAnsi="宋体" w:eastAsia="宋体" w:cs="宋体"/>
                <w:color w:val="auto"/>
                <w:sz w:val="21"/>
                <w:szCs w:val="21"/>
              </w:rPr>
              <w:t>%</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8767.59</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100.00%</w:t>
            </w: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项目（一期）投资构成一览表</w:t>
      </w:r>
    </w:p>
    <w:tbl>
      <w:tblPr>
        <w:tblStyle w:val="000016"/>
        <w:tblW w:w="0" w:type="auto"/>
        <w:jc w:val="center"/>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885"/>
        <w:gridCol w:w="2985"/>
        <w:gridCol w:w="2644"/>
        <w:gridCol w:w="2005"/>
      </w:tblGrid>
      <w:tr>
        <w:trPr>
          <w:trHeight w:val="618" w:hRule="atLeast"/>
          <w:tblHeader/>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序号</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工程或费用名称</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投资额</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比例（%）</w:t>
            </w:r>
          </w:p>
        </w:tc>
      </w:tr>
      <w:tr>
        <w:trPr>
          <w:trHeight w:val="504"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一</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工程费用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4770.32</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89.94%</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1</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光伏设备工程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1708.65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32.21%</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2</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储能设备工程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2175.40</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41.01%</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3</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园区配套工程</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886.27</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16.71%</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二</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工程建设其他费用</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236.28</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4.45%</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三</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预备费</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250.33</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4.72%</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四</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建设期利息</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47.25</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0.89%</w:t>
            </w:r>
          </w:p>
        </w:tc>
      </w:tr>
      <w:tr>
        <w:trPr>
          <w:trHeight w:val="530"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五</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固定资产投资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5304.18</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100.00%</w:t>
            </w:r>
          </w:p>
        </w:tc>
      </w:tr>
      <w:tr>
        <w:trPr>
          <w:trHeight w:val="476" w:hRule="atLeast"/>
          <w:jc w:val="center"/>
        </w:trPr>
        <w:tc>
          <w:tcPr>
            <w:tcW w:w="8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六</w:t>
            </w:r>
          </w:p>
        </w:tc>
        <w:tc>
          <w:tcPr>
            <w:tcW w:w="298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rPr>
            </w:pPr>
            <w:r>
              <w:rPr>
                <w:rFonts w:hint="eastAsia" w:ascii="宋体" w:hAnsi="宋体" w:eastAsia="宋体" w:cs="宋体"/>
                <w:color w:val="000000"/>
                <w:sz w:val="21"/>
                <w:szCs w:val="21"/>
              </w:rPr>
              <w:t>项目总投资</w:t>
            </w:r>
          </w:p>
        </w:tc>
        <w:tc>
          <w:tcPr>
            <w:tcW w:w="2644" w:type="dxa"/>
            <w:tcBorders>
              <w:tl2br w:val="nil"/>
              <w:tr2bl w:val="nil"/>
            </w:tcBorders>
            <w:tcMar>
              <w:top w:w="0" w:type="dxa"/>
              <w:left w:w="108" w:type="dxa"/>
              <w:bottom w:w="0" w:type="dxa"/>
              <w:right w:w="108" w:type="dxa"/>
            </w:tcMar>
            <w:vAlign w:val="center"/>
          </w:tcPr>
          <w:p>
            <w:pPr>
              <w:widowControl w:val="false"/>
              <w:jc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5304.18</w:t>
            </w:r>
          </w:p>
        </w:tc>
        <w:tc>
          <w:tcPr>
            <w:tcW w:w="2005" w:type="dxa"/>
            <w:tcBorders>
              <w:tl2br w:val="nil"/>
              <w:tr2bl w:val="nil"/>
            </w:tcBorders>
            <w:tcMar>
              <w:top w:w="0" w:type="dxa"/>
              <w:left w:w="108" w:type="dxa"/>
              <w:bottom w:w="0" w:type="dxa"/>
              <w:right w:w="108" w:type="dxa"/>
            </w:tcMar>
            <w:vAlign w:val="center"/>
          </w:tcPr>
          <w:p>
            <w:pPr>
              <w:widowControl w:val="false"/>
              <w:jc w:val="center"/>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其中，项目（一期）资本金1104.18万元，占总投资的20.82%，项目融资、企业自筹资金或者其他债务性资金4200.00万元，占总投资的79.18%。</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项目定性</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firstLineChars="200"/>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本项目精准定位为新能源源网荷储一体化项目，为河南大成包装材料有限公司定制绿色电力能源服务方案。</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成立于2016年，前身为成立于2005年的新乡市大成线材有限公司。地处中原大地的获嘉县域，公司依托多年来在研发、供应链、销售、服务等方面的技术沉淀与资源积累，通过不断的技术与产品创新，自创办初期20余人发展至今已达全员500余人。经过16年的行业生产经验，自行研制出多条环保、高效、节能的镀锌/镀铜产线，月产销产品12000吨，服务着国内几十家大型企业和上百家中小企业，产品畅销国内各地，产品已通过第三方SGS、RoHS检测认证。广受客户好评。公司用电量稳定，为生产筑牢根基。未来5—10年，面对行业更高要求，凭借多方面优势，公司将持续创新，拓展市场，有望在行业中不断进阶，发展潜力巨大。</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充分利用项目所在地的自然条件，部署高效光伏发电系统，并与先进的储能设备协同工作，深度挖掘自然清洁能源潜力。结合智能微电网技术，实现了电力资源的精确分配与高效传输，最大限度地减少了线路损耗，确保了能源供应的稳定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紧密围绕企业的实际需求，依托源网荷储一体化系统的协同优势，有效缓解了电价波动风险，为企业提供了低成本、高质量的电力供应，显著降低了其生产成本，有力提升了市场竞争力。项目还高度重视能源的储存与灵活调度，通过储能系统在用电低谷期储存电能，并在高峰期释放，实现了电力资源的时空优化配置，大幅提升了区域能源利用效率。</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是获嘉县全域微电网（虚拟电厂）的一期工程，该项目在满足大成包装用电的基础上，通过绿电专线、用户侧储能、充电桩、非机动车换电（兼储能）、商务用车换电（兼储能）等业态，为其他园区光伏开发、微电网（虚拟电厂）等后期业态准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9</w:t>
      </w:r>
      <w:r>
        <w:rPr>
          <w:rFonts w:hint="eastAsia" w:ascii="宋体" w:hAnsi="宋体" w:eastAsia="宋体" w:cs="宋体"/>
          <w:b/>
          <w:bCs/>
          <w:sz w:val="28"/>
          <w:szCs w:val="28"/>
        </w:rPr>
        <w:t xml:space="preserve"> 项目运营模式</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i w:val="false"/>
          <w:strike w:val="false"/>
          <w:color w:val="000000"/>
          <w:spacing w:val="0"/>
          <w:sz w:val="28"/>
          <w:u w:val="none"/>
        </w:rPr>
        <w:t>本项目</w:t>
      </w:r>
      <w:r>
        <w:rPr>
          <w:rFonts w:ascii="宋体" w:hAnsi="宋体" w:eastAsia="宋体" w:cs="宋体"/>
          <w:i w:val="false"/>
          <w:strike w:val="false"/>
          <w:color w:val="000000"/>
          <w:spacing w:val="0"/>
          <w:sz w:val="28"/>
          <w:u w:val="none"/>
        </w:rPr>
        <w:t>由</w:t>
      </w:r>
      <w:r>
        <w:rPr>
          <w:rFonts w:hint="eastAsia" w:ascii="宋体" w:hAnsi="宋体" w:eastAsia="宋体" w:cs="宋体"/>
          <w:i w:val="false"/>
          <w:strike w:val="false"/>
          <w:color w:val="000000"/>
          <w:spacing w:val="0"/>
          <w:sz w:val="28"/>
          <w:u w:val="none"/>
        </w:rPr>
        <w:t>河南中原智慧冷链物流园管理运营有限公司</w:t>
      </w:r>
      <w:r>
        <w:rPr>
          <w:rFonts w:ascii="宋体" w:hAnsi="宋体" w:eastAsia="宋体" w:cs="宋体"/>
          <w:i w:val="false"/>
          <w:strike w:val="false"/>
          <w:color w:val="000000"/>
          <w:spacing w:val="0"/>
          <w:sz w:val="28"/>
          <w:u w:val="none"/>
        </w:rPr>
        <w:t>全面</w:t>
      </w:r>
      <w:r>
        <w:rPr>
          <w:rFonts w:hint="eastAsia" w:ascii="宋体" w:hAnsi="宋体" w:eastAsia="宋体" w:cs="宋体"/>
          <w:i w:val="false"/>
          <w:strike w:val="false"/>
          <w:color w:val="000000"/>
          <w:spacing w:val="0"/>
          <w:sz w:val="28"/>
          <w:u w:val="none"/>
          <w:lang w:eastAsia="zh-CN"/>
        </w:rPr>
        <w:t>负责</w:t>
      </w:r>
      <w:r>
        <w:rPr>
          <w:rFonts w:ascii="宋体" w:hAnsi="宋体" w:eastAsia="宋体" w:cs="宋体"/>
          <w:i w:val="false"/>
          <w:strike w:val="false"/>
          <w:color w:val="000000"/>
          <w:spacing w:val="0"/>
          <w:sz w:val="28"/>
          <w:u w:val="none"/>
        </w:rPr>
        <w:t>资金筹措、建设实施及日常运营。该项目创新性地整合光伏发电、储能调峰与用电需求，实现按需直供新能源绿色电力，打破了传统“隔墙售电”限制。此运营模式不仅为园内及外部企业提供安全、稳定、环保且成本效益高的电力解决方案，助力企业成本控制与转型升级</w:t>
      </w:r>
      <w:r>
        <w:rPr>
          <w:rFonts w:hint="eastAsia" w:ascii="宋体" w:hAnsi="宋体" w:eastAsia="宋体" w:cs="宋体"/>
          <w:i w:val="false"/>
          <w:strike w:val="false"/>
          <w:color w:val="000000"/>
          <w:spacing w:val="0"/>
          <w:sz w:val="28"/>
          <w:u w:val="none"/>
        </w:rPr>
        <w:t>，</w:t>
      </w:r>
      <w:r>
        <w:rPr>
          <w:rFonts w:ascii="宋体" w:hAnsi="宋体" w:eastAsia="宋体" w:cs="宋体"/>
          <w:i w:val="false"/>
          <w:strike w:val="false"/>
          <w:color w:val="000000"/>
          <w:spacing w:val="0"/>
          <w:sz w:val="28"/>
          <w:u w:val="none"/>
        </w:rPr>
        <w:t>还积极促进了我国“双碳”目标的实现，展现了显著的环保与经济效益</w:t>
      </w:r>
      <w:r>
        <w:rPr>
          <w:rFonts w:hint="eastAsia" w:ascii="宋体" w:hAnsi="宋体" w:eastAsia="宋体" w:cs="宋体"/>
          <w:snapToGrid/>
          <w:color w:val="000000"/>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rPr>
        <w:t>1.1.</w:t>
      </w:r>
      <w:r>
        <w:rPr>
          <w:rFonts w:hint="eastAsia" w:ascii="宋体" w:hAnsi="宋体" w:eastAsia="宋体" w:cs="宋体"/>
          <w:b/>
          <w:bCs/>
          <w:sz w:val="28"/>
          <w:szCs w:val="28"/>
          <w:lang w:val="en-US" w:eastAsia="zh-CN"/>
        </w:rPr>
        <w:t>10</w:t>
      </w:r>
      <w:r>
        <w:rPr>
          <w:rFonts w:hint="eastAsia" w:ascii="宋体" w:hAnsi="宋体" w:eastAsia="宋体" w:cs="宋体"/>
          <w:b/>
          <w:bCs/>
          <w:sz w:val="28"/>
          <w:szCs w:val="28"/>
        </w:rPr>
        <w:t xml:space="preserve"> 主要经济技术指标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主要经济技术指标一览表如下所示：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center"/>
        <w:textAlignment w:val="baseline"/>
        <w:rPr>
          <w:rFonts w:hint="eastAsia" w:ascii="宋体" w:hAnsi="宋体" w:eastAsia="宋体" w:cs="宋体"/>
          <w:b/>
          <w:bCs/>
          <w:sz w:val="28"/>
          <w:szCs w:val="28"/>
        </w:rPr>
      </w:pPr>
      <w:bookmarkStart w:id="13" w:name="_Toc21351"/>
      <w:bookmarkStart w:id="14" w:name="_Toc21351"/>
      <w:r>
        <w:rPr>
          <w:rFonts w:hint="eastAsia" w:ascii="宋体" w:hAnsi="宋体" w:eastAsia="宋体" w:cs="宋体"/>
          <w:b/>
          <w:bCs/>
          <w:sz w:val="28"/>
          <w:szCs w:val="28"/>
        </w:rPr>
        <w:t>主要经济技术指标一览表</w:t>
      </w:r>
      <w:bookmarkEnd w:id="13"/>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35"/>
        <w:gridCol w:w="1290"/>
      </w:tblGrid>
      <w:tr>
        <w:trPr>
          <w:trHeight w:val="533" w:hRule="atLeast"/>
          <w:tblHeader/>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8767.59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8688.84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snapToGrid w:val="false"/>
                <w:color w:val="auto"/>
                <w:kern w:val="0"/>
                <w:sz w:val="21"/>
                <w:szCs w:val="21"/>
                <w:u w:val="none"/>
                <w:lang w:val="en-US" w:eastAsia="zh-CN" w:bidi="ar-SA"/>
              </w:rPr>
            </w:pPr>
            <w:r>
              <w:rPr>
                <w:rFonts w:hint="eastAsia" w:ascii="宋体" w:hAnsi="宋体" w:eastAsia="宋体" w:cs="宋体"/>
                <w:b w:val="false"/>
                <w:bCs w:val="false"/>
                <w:i w:val="false"/>
                <w:iCs w:val="false"/>
                <w:snapToGrid w:val="false"/>
                <w:color w:val="auto"/>
                <w:kern w:val="0"/>
                <w:sz w:val="21"/>
                <w:szCs w:val="21"/>
                <w:u w:val="none"/>
                <w:lang w:val="en-US" w:eastAsia="zh-CN" w:bidi="ar"/>
              </w:rPr>
              <w:t>78.75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1196.12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681.14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549.04</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103.31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156.02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514.98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353.47</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146.83</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7.98</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2151.65</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11.26</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9.39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2920.30</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5.91</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投资利税率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4.19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14.99</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3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50.92</w:t>
            </w:r>
          </w:p>
        </w:tc>
        <w:tc>
          <w:tcPr>
            <w:tcW w:w="129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项目（一期）主要经济技术指标一览表</w:t>
      </w:r>
      <w:bookmarkEnd w:id="14"/>
    </w:p>
    <w:tbl>
      <w:tblPr>
        <w:tblStyle w:val="000016"/>
        <w:tblW w:w="0" w:type="auto"/>
        <w:tblInd w:w="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108" w:type="dxa"/>
          <w:bottom w:w="0" w:type="dxa"/>
          <w:right w:w="108" w:type="dxa"/>
        </w:tblCellMar>
      </w:tblPr>
      <w:tblGrid>
        <w:gridCol w:w="1209"/>
        <w:gridCol w:w="2856"/>
        <w:gridCol w:w="1380"/>
        <w:gridCol w:w="1320"/>
        <w:gridCol w:w="1305"/>
      </w:tblGrid>
      <w:tr>
        <w:trPr>
          <w:trHeight w:val="533" w:hRule="atLeast"/>
          <w:tblHeader/>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科目</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单位</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指标</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备注</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项目规模总投资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5304.18</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建设投资</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5256.93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建设期利息</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47.25</w:t>
            </w:r>
            <w:r>
              <w:rPr>
                <w:rFonts w:hint="default" w:ascii="宋体" w:hAnsi="宋体" w:eastAsia="宋体" w:cs="宋体"/>
                <w:color w:val="auto"/>
                <w:sz w:val="21"/>
                <w:szCs w:val="21"/>
                <w:lang w:val="en-US" w:eastAsia="zh-CN"/>
              </w:rPr>
              <w:t xml:space="preserve"> </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年均收入</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700.26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年均总成本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404.54</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年均固定成本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331.48</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3.2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年均可变成本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73.06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年均经营成本</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87.07</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295.54</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年均营业税金及附加</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8.65</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年均利润</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200.52</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5.3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年均增值税</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86.54</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7.70</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1210.00</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税后投资回收期</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年</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11.31</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税后</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9</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财务内部收益率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9.03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财务净现值</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万元</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1646.59</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税前</w:t>
            </w: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11</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总投资收益率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5.66</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12</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项目资本金净利润率</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13.64</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r>
        <w:trPr>
          <w:trHeight w:val="476" w:hRule="atLeast"/>
        </w:trPr>
        <w:tc>
          <w:tcPr>
            <w:tcW w:w="1209"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13</w:t>
            </w:r>
          </w:p>
        </w:tc>
        <w:tc>
          <w:tcPr>
            <w:tcW w:w="2856"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盈亏平衡点</w:t>
            </w:r>
          </w:p>
        </w:tc>
        <w:tc>
          <w:tcPr>
            <w:tcW w:w="1380"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r>
              <w:rPr>
                <w:rFonts w:hint="eastAsia" w:ascii="宋体" w:hAnsi="宋体" w:eastAsia="宋体" w:cs="宋体"/>
                <w:color w:val="auto"/>
                <w:sz w:val="21"/>
                <w:szCs w:val="21"/>
              </w:rPr>
              <w:t>%</w:t>
            </w:r>
          </w:p>
        </w:tc>
        <w:tc>
          <w:tcPr>
            <w:tcW w:w="1320" w:type="dxa"/>
            <w:tcBorders>
              <w:tl2br w:val="nil"/>
              <w:tr2bl w:val="nil"/>
            </w:tcBorders>
            <w:tcMar>
              <w:top w:w="0" w:type="dxa"/>
              <w:left w:w="0" w:type="dxa"/>
              <w:bottom w:w="0" w:type="dxa"/>
              <w:right w:w="0" w:type="dxa"/>
            </w:tcMar>
            <w:vAlign w:val="center"/>
          </w:tcPr>
          <w:p>
            <w:pPr>
              <w:widowControl w:val="false"/>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60.33</w:t>
            </w:r>
          </w:p>
        </w:tc>
        <w:tc>
          <w:tcPr>
            <w:tcW w:w="1305"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color w:val="auto"/>
                <w:sz w:val="21"/>
                <w:szCs w:val="21"/>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15" w:name="_Toc31455"/>
      <w:bookmarkStart w:id="16" w:name="_Toc6245"/>
      <w:bookmarkStart w:id="17" w:name="_Toc10740"/>
      <w:r>
        <w:rPr>
          <w:rFonts w:hint="eastAsia" w:ascii="宋体" w:hAnsi="宋体" w:eastAsia="宋体" w:cs="宋体"/>
          <w:b/>
          <w:bCs/>
          <w:sz w:val="28"/>
          <w:szCs w:val="28"/>
          <w:lang w:val="en-US" w:eastAsia="zh-CN"/>
        </w:rPr>
        <w:t>1.2 企业及实际控制人概况</w:t>
      </w:r>
      <w:bookmarkEnd w:id="15"/>
      <w:bookmarkEnd w:id="16"/>
      <w:bookmarkEnd w:id="17"/>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单位为河南中原智慧冷链物流园管理运营有限公司，成立于2021年12月2日，注册资本金为人民币100万元，法定代表人为马金全，注册地址为河南省新乡市获嘉县产业集聚区416室。经营范围：一般项目：园区管理服务；商业综合体管理服务；供应链管理服务；税务服务；信息咨询服务（不含许可类信息咨询服务）；社会经济咨询服务；环保咨询服务；安全咨询服务；会议及展览服务；企业管理咨询；劳务服务（不含劳务派遣）；融资咨询服务；食品销售（仅销售预包装食品）；农产品的生产、销售、加工、运输、贮藏及其他相关服务；初级农产品收购；普通货物仓储服务（不含危险化学品等需许可审批的项目）；低温仓储（不含危险化学品等需许可审批的项目）；国内货物运输代理；林业产品销售；木材销售；礼品花卉销售；建筑材料销售；金属材料销售（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体的唯一股东为获嘉县产业集聚区运营发展服务有限公司，成立于2020年8月7日，注册资金为人民币300万元，法定代表人高本祯，注册地：河南省获嘉县城关镇产业集聚区四楼405号。经营范围：一般项目：物业管理；房地产评估；房地产经纪；房地产咨询；住房租赁；非居住房地产租赁；建筑材料销售；铁路运输辅助活动；陆路国际货物运输代理；停车场服务；机械设备租赁；运输设备租赁服务；仓储设备租赁服务；单位后勤管理服务；企业管理；公共事业管理服务；园区管理服务；供应链管理服务；法律咨询（不包括律师事务所业务）；信息咨询服务（不含许可类信息咨询服务）；环保咨询服务；企业管理咨询；劳务服务（不含劳务派遣）；市政设施管理；城市绿化管理；建筑物清洁服务；专业保洁、清洗、消毒服务（除依法须经批准的项目外，凭营业执照依法自主开展经营活动）。</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18" w:name="_Toc29965"/>
      <w:bookmarkStart w:id="19" w:name="_Toc4195"/>
      <w:bookmarkStart w:id="20" w:name="_Toc24935"/>
      <w:bookmarkStart w:id="21" w:name="_Toc8258"/>
      <w:r>
        <w:rPr>
          <w:rFonts w:hint="eastAsia" w:ascii="宋体" w:hAnsi="宋体" w:eastAsia="宋体" w:cs="宋体"/>
          <w:b/>
          <w:bCs/>
          <w:sz w:val="28"/>
          <w:szCs w:val="28"/>
          <w:lang w:val="en-US" w:eastAsia="zh-CN"/>
        </w:rPr>
        <w:t>1.3 编制依据</w:t>
      </w:r>
      <w:bookmarkEnd w:id="18"/>
      <w:bookmarkEnd w:id="19"/>
      <w:bookmarkEnd w:id="20"/>
      <w:bookmarkEnd w:id="2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在可行性研究中作为依据的法规、文件、资料、要列出名称、来源、发布日期。并将其中必要的部分全文附后，作为可行性研究报告的附件，这些法规、文件、资料大致可分为四个部分：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项目主管部门对项目的建设要求所下达的指令性文件；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对项目承办单位或可行性研究单位的请示报告的批复文件。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可行性研究开始前已经形成的工作成果及文件。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根据项目需要进行调查和收集设计基础资料。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《中华人民共和国国民经济和社会发展“十四五”规划纲要》;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《国家战略性新兴产业“十四五”发展规划》;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《国家产业结构调整指导目录(2011年本)》;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《建设项目经济评价方法与参数及使用手册》(第三版);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《工业可行性研究编制手册》;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《现代财务会计》;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《工业投资项目评价与决策》;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项目公司提供的发展规划、有关资料及相关数据;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国家公布的相关设备及施工标准。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《公共建筑节能设计标准》（GB50189-2005）；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新乡市区各项规划资料；新乡市现场调研资料；相关的地质、水文、燃料、供电、供水等资料；新乡市水、电、天然气等基本耗材价格资料；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国家及地方相关的法律法规、条例、标准规范等文件。</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22" w:name="_Toc1907"/>
      <w:bookmarkStart w:id="23" w:name="_Toc21802"/>
      <w:bookmarkStart w:id="24" w:name="_Toc6711"/>
      <w:r>
        <w:rPr>
          <w:rFonts w:hint="eastAsia" w:ascii="宋体" w:hAnsi="宋体" w:eastAsia="宋体" w:cs="宋体"/>
          <w:b/>
          <w:bCs/>
          <w:sz w:val="28"/>
          <w:szCs w:val="28"/>
          <w:lang w:val="en-US" w:eastAsia="zh-CN"/>
        </w:rPr>
        <w:t>1.4 研究范围</w:t>
      </w:r>
      <w:bookmarkEnd w:id="22"/>
      <w:bookmarkEnd w:id="23"/>
      <w:bookmarkEnd w:id="2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国家对可行性研究报告工作范围和深度的规定，本报告对项目建设背景、需求分析及产出方案、项目选址与建设条件、建设规模及内容、项目建设方案、公用工程、绿色建筑、环境保护、节能、劳动安全卫生及消防、组织机构与劳动定员、项目组织及实施、项目招投标、投资估算与资金筹措、财务评价、效益分析、结论与建议等方面进行综合研究和分析，重点研究和论述项目建设的必要性、项目建设方案、投资估算、财务评价、效益分析等内容，为建设单位的决策和实施提供可靠和准确的论证。</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25" w:name="_Toc5471"/>
      <w:bookmarkStart w:id="26" w:name="_Toc6849"/>
      <w:bookmarkStart w:id="27" w:name="_Toc13922"/>
      <w:bookmarkStart w:id="28" w:name="_Toc26283"/>
      <w:r>
        <w:rPr>
          <w:rFonts w:hint="eastAsia" w:ascii="宋体" w:hAnsi="宋体" w:eastAsia="宋体" w:cs="宋体"/>
          <w:b/>
          <w:bCs/>
          <w:sz w:val="28"/>
          <w:szCs w:val="28"/>
          <w:lang w:val="en-US" w:eastAsia="zh-CN"/>
        </w:rPr>
        <w:t>1.5 结论及建议</w:t>
      </w:r>
      <w:bookmarkEnd w:id="25"/>
      <w:bookmarkEnd w:id="26"/>
      <w:bookmarkEnd w:id="27"/>
      <w:bookmarkEnd w:id="28"/>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1.5.1 结论</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pPr>
      <w:r>
        <w:rPr>
          <w:rFonts w:ascii="宋体" w:hAnsi="宋体" w:eastAsia="宋体" w:cs="宋体"/>
          <w:i w:val="false"/>
          <w:strike w:val="false"/>
          <w:color w:val="000000"/>
          <w:sz w:val="28"/>
          <w:u w:val="none"/>
        </w:rPr>
        <w:t>本项目的建设，可以充分合理</w:t>
      </w:r>
      <w:r>
        <w:rPr>
          <w:rFonts w:hint="eastAsia" w:ascii="宋体" w:hAnsi="宋体" w:eastAsia="宋体" w:cs="宋体"/>
          <w:i w:val="false"/>
          <w:strike w:val="false"/>
          <w:color w:val="000000"/>
          <w:sz w:val="28"/>
          <w:u w:val="none"/>
          <w:lang w:eastAsia="zh-CN"/>
        </w:rPr>
        <w:t>地</w:t>
      </w:r>
      <w:r>
        <w:rPr>
          <w:rFonts w:ascii="宋体" w:hAnsi="宋体" w:eastAsia="宋体" w:cs="宋体"/>
          <w:i w:val="false"/>
          <w:strike w:val="false"/>
          <w:color w:val="000000"/>
          <w:sz w:val="28"/>
          <w:u w:val="none"/>
        </w:rPr>
        <w:t>利用园区内工业厂房屋顶</w:t>
      </w:r>
      <w:r>
        <w:rPr>
          <w:rFonts w:hint="eastAsia" w:ascii="宋体" w:hAnsi="宋体" w:eastAsia="宋体" w:cs="宋体"/>
          <w:i w:val="false"/>
          <w:strike w:val="false"/>
          <w:color w:val="000000"/>
          <w:sz w:val="28"/>
          <w:u w:val="none"/>
        </w:rPr>
        <w:t>及闲置空地</w:t>
      </w:r>
      <w:r>
        <w:rPr>
          <w:rFonts w:ascii="宋体" w:hAnsi="宋体" w:eastAsia="宋体" w:cs="宋体"/>
          <w:i w:val="false"/>
          <w:strike w:val="false"/>
          <w:color w:val="000000"/>
          <w:sz w:val="28"/>
          <w:u w:val="none"/>
        </w:rPr>
        <w:t>面积进行开发利用光能资源，满足能源可持续发展的需要；可以促进地区国民经济的可持续发展；可以加快能源电力结构调整；同时改善生态、保护环境；本工程的兴建不仅能减少对电网电力的消耗，减轻当地电网的压力，使用绿色能源，起到节约传统能源的作用，有助于提升企业形象。</w:t>
      </w:r>
    </w:p>
    <w:p>
      <w:pPr>
        <w:keepNext w:val="false"/>
        <w:keepLines w:val="false"/>
        <w:pageBreakBefore w:val="false"/>
        <w:widowControl w:val="false"/>
        <w:pBdr>
          <w:bottom w:val="none" w:color="auto" w:sz="0" w:space="0"/>
        </w:pBdr>
        <w:kinsoku/>
        <w:wordWrap/>
        <w:overflowPunct/>
        <w:topLinePunct/>
        <w:autoSpaceDE w:val="false"/>
        <w:autoSpaceDN/>
        <w:bidi w:val="false"/>
        <w:snapToGrid/>
        <w:spacing w:before="157" w:beforeLines="50" w:after="157" w:afterLines="50" w:line="360" w:lineRule="auto"/>
        <w:ind w:left="0" w:right="0" w:firstLine="560" w:firstLineChars="200"/>
        <w:jc w:val="both"/>
        <w:textAlignment w:val="baseline"/>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color w:val="000000"/>
          <w:sz w:val="28"/>
          <w:u w:val="none"/>
        </w:rPr>
        <w:t>经过以上分析，可知本项目在接入、技术、经济、节能减排指标方面是可行的，项目具备建设条件</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1.5.2 建议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为保证本项目能够顺利、稳妥地建设和发展，应注意以下几个方面：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1、应积极筹措建设资金，保证项目顺利建设，强化项目进程中的投资、质量、进度计划，注重对可能发生的不利条件及变化因素的预测与防范对策，以保证项目按期完成。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2、建议政府出台相关政策，对源网荷储一体化项目给予财政补贴、税收优惠等支持措施；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3、加强对当地企业的宣传教育，提高企业对新能源电力的认知度和接受度，促进社会各界的参与和支持。</w:t>
      </w:r>
      <w:r>
        <w:rPr>
          <w:rFonts w:hint="eastAsia" w:ascii="宋体" w:hAnsi="宋体" w:eastAsia="宋体" w:cs="宋体"/>
          <w:snapToGrid/>
          <w:color w:val="auto"/>
          <w:spacing w:val="0"/>
          <w:w w:val="100"/>
          <w:kern w:val="2"/>
          <w:position w:val="0"/>
          <w:sz w:val="28"/>
          <w:szCs w:val="28"/>
          <w:lang w:val="en-US" w:eastAsia="zh-CN" w:bidi="zh-CN"/>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29" w:name="_Toc1140"/>
      <w:bookmarkStart w:id="30" w:name="_Toc8074"/>
      <w:r>
        <w:rPr>
          <w:rFonts w:hint="eastAsia" w:ascii="宋体" w:hAnsi="宋体" w:eastAsia="宋体" w:cs="宋体"/>
          <w:b/>
          <w:bCs/>
          <w:sz w:val="36"/>
          <w:szCs w:val="36"/>
        </w:rPr>
        <w:t>第二章 项目建设背景及必要性</w:t>
      </w:r>
      <w:bookmarkEnd w:id="29"/>
      <w:bookmarkEnd w:id="30"/>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31" w:name="_Toc29717"/>
      <w:bookmarkStart w:id="32" w:name="_Toc29356"/>
      <w:r>
        <w:rPr>
          <w:rFonts w:hint="eastAsia" w:ascii="宋体" w:hAnsi="宋体" w:eastAsia="宋体" w:cs="宋体"/>
          <w:b/>
          <w:bCs/>
          <w:sz w:val="28"/>
          <w:szCs w:val="28"/>
          <w:lang w:val="en-US" w:eastAsia="zh-CN"/>
        </w:rPr>
        <w:t>2.1 规划政策符合性</w:t>
      </w:r>
      <w:bookmarkEnd w:id="31"/>
      <w:bookmarkEnd w:id="32"/>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 项目建设背景和前期工作进展情况</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2.1.1.1 项目建设背景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气候变化问题的日益严峻，全球对约束碳排放已经基本达成一致。根据气候、中国经济的现状等条件，中央政府提出以“双碳”目标，2030年前实现碳达峰，2060年前实现碳中和。在这一战略框架下，光伏发电和储能技术成为重要的支撑和突破口。通过大力发展光伏发电及储能技术，利用太阳能资源进行清洁能源生产，配合储能调峰稳定电力运行，可以促进碳减排和能源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1、新乡市获嘉县整体情况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地处河南省北部，新乡市西部，介于东经113°39′42″～113°44′20″，北纬35°9′34″～35°15′37″之间。县域面积473平方公里，距新乡市约20公里，距省会郑州约80公里。下辖8镇3乡，即城关镇、照镜镇、黄堤镇、中和镇、徐营镇、冯庄镇、亢村镇、史庄镇、太山镇、大新庄乡、位庄乡，共有219个行政村，耕地面积44.8万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国内生产总值（GDP）为2002022万元，比上年增长2.3%‌‌。其中，第一产业增加值377953万元，增长0.4%；第二产业增加值749021万元，增长3.1%；第三产业增加值875048万元，增长2.3%。三次产业结构为18.9:37.4:43.7‌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的经济运行情况总体稳定，农业生产形势稳定，农产品供给充足。全县农林牧渔业总产值67.3亿元，同比增长2.2%。粮食安全得到保障，尽管受连续降雨影响夏粮有所减产，但粮食总产量仍稳定在37.91万吨。工业生产加快，主导产业支撑作用明显，规模以上工业增加值同比增长7%，其中制造业增加值增长11.8%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2、获嘉县工业生产加快，工业园区较多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近年来工业生产呈现出蓬勃加快的发展态势，境内工业园逐渐增多，为经济增长注入了强劲动力。其拥有如获嘉县先进制造业开发区这样的重要产业园区，按照“一区多园”的布局，涵盖了现代化工、装备制造、生物医药等多个领域，入驻企业多达600余家，其中规模以上工业企业就有90家。在现代化工产业园区，依托产业基础与资源优势，吸引了众多化工企业扎根，形成了完整的产业链条，从基础化工原料生产到精细化工产品加工，一应俱全；装备制造产业园内，各类机械加工、装配企业聚集，专注于生产农业机械、工业设备配件以及智能装备等产品，产品远销国内外；生物医药产业也崭露头角，一批专注于制药、医疗器械研发生产的企业蓬勃发展，不断提升着获嘉县在该领域的影响力。此外，像获嘉县精细化工专业园区，聚焦精细化工领域，以巨晶化工等企业为核心，全力打造高端精细化工产业集群，进一步丰富了获嘉县的工业产业结构，众多企业在这片土地上汇聚，通过不断创新与技术升级，推动着获嘉县工业向着更高质量、更具竞争力的方向大步迈进，成为区域经济发展的重要支撑力量，也为当地创造了大量的就业机会和经济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3、园区工业企业用电需要量较大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产业集聚区发展态势良好，园区内企业众多且用电需求量较大。其中，中新化工凭借其大规模的化工生产设施与复杂的工艺流程，在原材料的提炼、合成以及产品精制等各个环节都离不开大量电力的支撑，大型反应釜、蒸馏塔等设备持续运行，耗电量惊人，是园区电力消耗的重要力量。中小企业孵化园虽企业规模不一，但整体用电量不容小觑，园内机械制造、电子元件加工等企业的各类机床、自动化生产线以及检测设备等同时运转，众多企业的用电需求汇聚起来，形成了可观的用电规模。河南晶瑞日用品在生产过程中，为保证产品的高质量，其消毒、灌装、包装等环节的自动化设备对电力的稳定性和持续性要求极高，特别是在生产高峰期，用电需求急剧上升。大成包装的生产也高度依赖电力，从纸板的切割、印刷到纸箱的成型、装订，一系列大型设备的运转使得用电量居高不下，产生大量的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4、源网荷储模式能够有效解决企业降本增效的问题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color w:val="auto"/>
          <w:sz w:val="28"/>
          <w:szCs w:val="28"/>
        </w:rPr>
      </w:pPr>
      <w:r>
        <w:rPr>
          <w:rFonts w:hint="eastAsia" w:ascii="宋体" w:hAnsi="宋体" w:eastAsia="宋体" w:cs="宋体"/>
          <w:snapToGrid/>
          <w:color w:val="auto"/>
          <w:spacing w:val="0"/>
          <w:w w:val="100"/>
          <w:kern w:val="2"/>
          <w:position w:val="0"/>
          <w:sz w:val="28"/>
          <w:szCs w:val="28"/>
          <w:lang w:val="en-US" w:eastAsia="zh-CN" w:bidi="zh-CN"/>
        </w:rPr>
        <w:t>大环境经济下行已经给企业造成比较大的经营困难。获嘉县的企业经营也遇到困难和问题，获取定单和降低成本是经营中最急迫的工作。在这个市场出清时期，如果企业转型过慢，有可能面临被淘汰出局的风险。拟建项目作为新乡市获嘉</w:t>
      </w:r>
      <w:r>
        <w:rPr>
          <w:rFonts w:hint="eastAsia" w:ascii="宋体" w:hAnsi="宋体" w:eastAsia="宋体" w:cs="宋体"/>
          <w:color w:val="auto"/>
          <w:sz w:val="28"/>
          <w:szCs w:val="28"/>
          <w:lang w:val="en-US" w:eastAsia="zh-CN"/>
        </w:rPr>
        <w:t>县源网荷储</w:t>
      </w:r>
      <w:r>
        <w:rPr>
          <w:rFonts w:hint="eastAsia" w:ascii="宋体" w:hAnsi="宋体" w:eastAsia="宋体" w:cs="宋体"/>
          <w:color w:val="auto"/>
          <w:sz w:val="28"/>
          <w:szCs w:val="28"/>
        </w:rPr>
        <w:t>绿色新能源项目，极大程度上解决企业用电贵、成本高的问题</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同时解决了隔墙售电的问题。</w:t>
      </w:r>
      <w:r>
        <w:rPr>
          <w:rFonts w:hint="eastAsia" w:ascii="宋体" w:hAnsi="宋体" w:eastAsia="宋体" w:cs="宋体"/>
          <w:color w:val="auto"/>
          <w:sz w:val="28"/>
          <w:szCs w:val="28"/>
        </w:rPr>
        <w:t>从根源上降低企业生产成本，给企业转型争取时间和机会，为转型升级提供更有力的支持。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5、源网荷储一体化已成为河南省新能源项目发展趋势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在能源转型的大背景下，源网荷储一体化已成为河南省新能源项目发展的显著趋势。《河南省加快推进源网荷储一体化实施方案》的出台，明确了其在河南能源战略中的关键地位。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政府充分发挥主导作用</w:t>
      </w:r>
      <w:r>
        <w:rPr>
          <w:rFonts w:hint="eastAsia" w:ascii="宋体" w:hAnsi="宋体" w:eastAsia="宋体" w:cs="宋体"/>
          <w:snapToGrid/>
          <w:color w:val="auto"/>
          <w:spacing w:val="0"/>
          <w:w w:val="100"/>
          <w:kern w:val="2"/>
          <w:position w:val="0"/>
          <w:sz w:val="28"/>
          <w:szCs w:val="28"/>
          <w:lang w:val="en-US" w:eastAsia="zh-CN" w:bidi="zh-CN"/>
        </w:rPr>
        <w:t>，积极引导资源配置，营造良好政策环境，从规划到审批，大力支持项目推进。其中，新能源项目库的高效运作机制尤为突出</w:t>
      </w:r>
      <w:r>
        <w:rPr>
          <w:rFonts w:hint="eastAsia" w:ascii="宋体" w:hAnsi="宋体" w:eastAsia="宋体" w:cs="宋体"/>
          <w:b/>
          <w:snapToGrid/>
          <w:color w:val="auto"/>
          <w:spacing w:val="0"/>
          <w:w w:val="100"/>
          <w:kern w:val="2"/>
          <w:position w:val="0"/>
          <w:sz w:val="28"/>
          <w:szCs w:val="28"/>
          <w:lang w:val="en-US" w:eastAsia="zh-CN" w:bidi="zh-CN"/>
        </w:rPr>
        <w:t>。每月开放申报通道，实行即时报、即时批、即时审，</w:t>
      </w:r>
      <w:r>
        <w:rPr>
          <w:rFonts w:hint="eastAsia" w:ascii="宋体" w:hAnsi="宋体" w:eastAsia="宋体" w:cs="宋体"/>
          <w:snapToGrid/>
          <w:color w:val="auto"/>
          <w:spacing w:val="0"/>
          <w:w w:val="100"/>
          <w:kern w:val="2"/>
          <w:position w:val="0"/>
          <w:sz w:val="28"/>
          <w:szCs w:val="28"/>
          <w:lang w:val="en-US" w:eastAsia="zh-CN" w:bidi="zh-CN"/>
        </w:rPr>
        <w:t>企业提交的源网荷储一体化项目申请能迅速进入审核流程，短时间内获得审批结果。这一机制极大激发了市场活力，众多企业凭借技术、资金优势积极参与项目申报，抢占新兴领域先机。申报项目落地后，推动能源结构优化升级，大幅提升清洁能源在能源消费中的占比。通过整合能源生产、传输、存储和消费环节，源网荷储一体化项目提高了能源利用效率，降低损耗，增强能源供应的稳定性与可靠性，为河南可持续发展注入强劲动力，助力其在绿色能源道路上稳步前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Chars="0" w:rightChars="0" w:firstLineChars="200"/>
        <w:jc w:val="both"/>
        <w:textAlignment w:val="baseline"/>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6、提前布置“光储充换”一体化设施，抢占市场先机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firstLineChars="200"/>
        <w:jc w:val="both"/>
        <w:textAlignment w:val="baseline"/>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随着“双碳”目标的推进与新能源汽车渗透率的持续提升，市场对充换电服务的需求正从单一充电向多元化、综合化方向转变。本项目率先构建“光储充换”一体化设施，通过光伏发电系统将清洁能源转化为电能，搭配储能设备实现电力的灵活调配与存储，有效降低对传统电网的依赖，既契合绿色发展理念，又能大幅降低运营成本，在价格竞争中占据优势。同时，一体化设施集成充电、换电功能，为新能源运营车辆及非机动车用户提供一站式服务，满足不同群体的多样化需求，极大提升用户粘性与服务竞争力。此外，随着周边区域新能源市场的逐步开发，提前完成设施布局能够形成先发优势，构建品牌影响力，快速占领市场份额，确立行业领先地位，不仅为项目自身带来持续稳定的收益，还能凭借先发优势吸引上下游企业合作，进一步拓展业务版图，在新能源充换电这片蓝海市场中拔得头筹，引领行业发展潮流。</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 经济社会发展规划、产业政策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2.1.2.1 《国家发展改革委国家能源局关于推进电力源网荷储一体化和多能互补发展的指导意见》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意见中提出要创新电力生产和消费模式，推进源网荷储一体化发展。鼓励各类市场主体积极参与，探索多种实施路径和商业模式。通过优化电源结构、提升电网灵活性、引导用户侧互动以及加强储能设施建设等措施，实现电力系统的源网荷储各环节深度融合与协调运行，提高电力系统的综合效率和可靠性，促进清洁能源的大规模开发利用和能源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2.1.2.2 《国家发展改革委、国家能源局关于加强电网调峰储能和智能化调度能力建设的指导意见》</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firstLine="560" w:firstLineChars="200"/>
        <w:textAlignment w:val="baseline"/>
        <w:rPr>
          <w:rFonts w:hint="default" w:ascii="宋体" w:hAnsi="宋体" w:eastAsia="宋体" w:cs="宋体"/>
          <w:b w:val="false"/>
          <w:bCs w:val="false"/>
          <w:sz w:val="28"/>
          <w:szCs w:val="28"/>
          <w:lang w:val="en-US" w:eastAsia="zh-CN"/>
        </w:rPr>
      </w:pPr>
      <w:r>
        <w:rPr>
          <w:rFonts w:hint="default" w:ascii="宋体" w:hAnsi="宋体" w:eastAsia="宋体" w:cs="宋体"/>
          <w:b w:val="false"/>
          <w:bCs w:val="false"/>
          <w:sz w:val="28"/>
          <w:szCs w:val="28"/>
          <w:lang w:val="en-US" w:eastAsia="zh-CN"/>
        </w:rPr>
        <w:t>以习近平新时代中国特色社会主义思想为指导，统筹优化调峰资源，推动源网荷储各类调节资源作用发挥。要求加强调峰能力建设，推进储能能力建设，推动智能化调度能力建设等。同时，积极推动各类调节资源参与电力市场，建立健全价格机制，健全完善管理体系，以提升电力系统调节能力，保障能源电力安全稳定供应和可再生能源高质量消纳等。</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《关于推进源网荷储一体化和多能互补项目实施的通知》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明确了源网荷储一体化和多能互补项目的实施要求和流程。要求各地要结合实际情况，制定具体的项目实施方案，加强项目储备和管理。在项目实施过程中，要注重项目的技术经济性和安全性，鼓励采用先进的技术和设备。同时，要建立健全项目的评估和监管机制，确保项目的顺利实施和预期效果的实现，推动源网荷储一体化和多能互补项目的规模化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2.1.2.4 《能源局综合司关于报送源网荷储一体化和多能互补项目有关情况的通知》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知中要求各地能源主管部门报送源网荷储一体化和多能互补项目的有关情况，包括项目的基本信息、进展情况、存在的问题等。旨在全面了解各地项目的实施现状，及时发现和解决项目推进过程中存在的问题，加强对项目的跟踪和指导，为进一步完善相关政策和措施提供依据，促进源网荷储一体化和多能互补项目的健康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《河南省加快推进源网荷储一体化实施方案》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方案拓展了源网荷储一体化项目的实施范围，涵盖工商业企业、产业园区等多种场景。重点任务包括加快科技创新应用，加强清洁能源供应，推动配网改造升级，优化电力负荷管理以及提速发展新型储能等。同时提出强化政策支持、保障并网消纳、营造良好环境等保障措施，以构建灵活智能、稳定高效的智能微电网，实现新能源的高效消纳和源网荷储各环节的协同互动。</w:t>
      </w:r>
      <w:r>
        <w:rPr>
          <w:rFonts w:hint="eastAsia" w:ascii="宋体" w:hAnsi="宋体" w:eastAsia="宋体" w:cs="宋体"/>
          <w:b/>
          <w:snapToGrid/>
          <w:color w:val="auto"/>
          <w:spacing w:val="0"/>
          <w:w w:val="100"/>
          <w:kern w:val="2"/>
          <w:position w:val="0"/>
          <w:sz w:val="28"/>
          <w:szCs w:val="28"/>
          <w:lang w:val="en-US" w:eastAsia="zh-CN" w:bidi="zh-CN"/>
        </w:rPr>
        <w:t>新乡市作为河南省中心城市，在2027年前需建成70个源网荷储项目目标任务。</w:t>
      </w:r>
    </w:p>
    <w:p>
      <w:pPr>
        <w:keepNext w:val="false"/>
        <w:keepLines w:val="false"/>
        <w:pageBreakBefore w:val="false"/>
        <w:widowControl/>
        <w:kinsoku w:val="false"/>
        <w:wordWrap/>
        <w:overflowPunct/>
        <w:topLinePunct w:val="false"/>
        <w:autoSpaceDE w:val="false"/>
        <w:autoSpaceDN w:val="false"/>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drawing>
          <wp:inline distT="0" distB="0" distL="0" distR="0">
            <wp:extent cx="5274310" cy="4072255"/>
            <wp:effectExtent l="0" t="0" r="0" b="0"/>
            <wp:docPr id="11" name="picture" descr="descript"/>
            <wp:cNvGraphicFramePr/>
            <a:graphic>
              <a:graphicData uri="http://schemas.openxmlformats.org/drawingml/2006/picture">
                <pic:pic>
                  <pic:nvPicPr>
                    <pic:cNvPr id="12" name="picture" descr="descript"/>
                    <pic:cNvPicPr/>
                  </pic:nvPicPr>
                  <pic:blipFill>
                    <a:blip r:embed="rId10"/>
                    <a:stretch>
                      <a:fillRect/>
                    </a:stretch>
                  </pic:blipFill>
                  <pic:spPr>
                    <a:xfrm>
                      <a:off x="0" y="0"/>
                      <a:ext cx="5274310" cy="407236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after="0" w:afterLines="50" w:line="48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2.1.2.</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《河南省工业企业源网荷储一体化项目实施细则（暂行）》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明确了项目建设模式、电源和储能设施规模、消纳运行和安全、并网时间和接入要求等。规定用电量较大的工业企业可结合自身用电特性，利用20公里范围内新能源资源建设分布式光伏或分散式风电，适当配置储能设施，提升绿电使用比例和系统运行效率，实现源网荷储一体化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Chars="0"/>
        <w:jc w:val="both"/>
        <w:textAlignment w:val="baseline"/>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2.1.2.7 《新乡市电动汽车充电基础设施建设三年行动方案（2023—2025年）》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方案明确了总体要求、加快推进充电基础设施网络体系建设、加快构建充电基础设施配套支撑体系、保障措施等内容。目标是到2025年基本建成城市面状、公路线状、乡村点状布局的智能充电网络，到2030年建成高质量充电基础设施体系，通过加快各区域充电设施建设、构建配套支撑体系等举措，满足新能源汽车充电需求，助力“双碳”目标实现。</w:t>
      </w:r>
    </w:p>
    <w:p>
      <w:pPr>
        <w:keepNext w:val="false"/>
        <w:keepLines w:val="false"/>
        <w:pageBreakBefore w:val="false"/>
        <w:widowControl w:val="false"/>
        <w:kinsoku/>
        <w:wordWrap/>
        <w:overflowPunct/>
        <w:topLinePunct/>
        <w:autoSpaceDE w:val="false"/>
        <w:autoSpaceDN/>
        <w:bidi w:val="false"/>
        <w:adjustRightInd/>
        <w:snapToGrid/>
        <w:spacing w:before="157" w:beforeLines="50" w:after="0" w:afterLines="50" w:line="48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 行业和市场准入标准的符合性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after="0" w:afterLines="50" w:line="48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2.1.3.1 行业准入标准的符合性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该项目属于</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基础建设项目。项目所涉及的行业不存在行业许可，根据河南省发展和改革委员会关于印发《河南省新能源项目库管理暂行办法》“6兆瓦以下的分布式光伏发电项目(含户用光伏项目)不纳入项目库管理范围，各地根据当地整体开发方案和电网消纳条件推进实施，由电网企业(含增量配网，下同)优先保障并网消纳”。本项目属于完全竞争的行业，可以根据需要自由拓展和开发</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0" w:afterLines="50" w:line="48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2.1.3.2 市场准入标准的符合性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本</w:t>
      </w:r>
      <w:r>
        <w:rPr>
          <w:rFonts w:hint="eastAsia" w:ascii="宋体" w:hAnsi="宋体" w:eastAsia="宋体" w:cs="宋体"/>
          <w:color w:val="auto"/>
          <w:sz w:val="28"/>
          <w:szCs w:val="28"/>
        </w:rPr>
        <w:t>项目</w:t>
      </w:r>
      <w:r>
        <w:rPr>
          <w:rFonts w:hint="eastAsia" w:ascii="宋体" w:hAnsi="宋体" w:eastAsia="宋体" w:cs="宋体"/>
          <w:color w:val="auto"/>
          <w:sz w:val="28"/>
          <w:szCs w:val="28"/>
          <w:lang w:val="en-US" w:eastAsia="zh-CN"/>
        </w:rPr>
        <w:t>为源网荷储一体化</w:t>
      </w:r>
      <w:r>
        <w:rPr>
          <w:rFonts w:hint="eastAsia" w:ascii="宋体" w:hAnsi="宋体" w:eastAsia="宋体" w:cs="宋体"/>
          <w:color w:val="auto"/>
          <w:sz w:val="28"/>
          <w:szCs w:val="28"/>
        </w:rPr>
        <w:t>基础设施建设。我国光伏发电及储能技术比较成熟，光伏及储能设备成本不高无需巨额资本介入、产业链资源对接等复杂的条件，不存在市场</w:t>
      </w:r>
      <w:r>
        <w:rPr>
          <w:rFonts w:hint="eastAsia" w:ascii="宋体" w:hAnsi="宋体" w:eastAsia="宋体" w:cs="宋体"/>
          <w:b w:val="false"/>
          <w:bCs w:val="false"/>
          <w:color w:val="auto"/>
          <w:sz w:val="28"/>
          <w:szCs w:val="28"/>
        </w:rPr>
        <w:t>准入条件。本项目产出电量</w:t>
      </w:r>
      <w:r>
        <w:rPr>
          <w:rFonts w:hint="eastAsia" w:ascii="宋体" w:hAnsi="宋体" w:eastAsia="宋体" w:cs="宋体"/>
          <w:b w:val="false"/>
          <w:bCs w:val="false"/>
          <w:color w:val="auto"/>
          <w:sz w:val="28"/>
          <w:szCs w:val="28"/>
          <w:lang w:val="en-US" w:eastAsia="zh-CN"/>
        </w:rPr>
        <w:t>优先出售给项目园区内部企业使用，剩余电量将根据</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文件要求，以项目建设地为核心点半径20公里内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w:t>
      </w:r>
      <w:r>
        <w:rPr>
          <w:rFonts w:hint="eastAsia" w:ascii="宋体" w:hAnsi="宋体" w:eastAsia="宋体" w:cs="宋体"/>
          <w:color w:val="auto"/>
          <w:sz w:val="28"/>
          <w:szCs w:val="28"/>
        </w:rPr>
        <w:t>，电力消纳不是问题，</w:t>
      </w:r>
      <w:r>
        <w:rPr>
          <w:rFonts w:hint="eastAsia" w:ascii="宋体" w:hAnsi="宋体" w:eastAsia="宋体" w:cs="宋体"/>
          <w:color w:val="auto"/>
          <w:sz w:val="28"/>
          <w:szCs w:val="28"/>
          <w:lang w:val="en-US" w:eastAsia="zh-CN"/>
        </w:rPr>
        <w:t>完全能做到自我消纳，</w:t>
      </w:r>
      <w:r>
        <w:rPr>
          <w:rFonts w:hint="eastAsia" w:ascii="宋体" w:hAnsi="宋体" w:eastAsia="宋体" w:cs="宋体"/>
          <w:color w:val="auto"/>
          <w:sz w:val="28"/>
          <w:szCs w:val="28"/>
        </w:rPr>
        <w:t>不存在市场准入问题</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0" w:afterLines="50" w:line="48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2.1.4 前期工作进展情况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480" w:lineRule="auto"/>
        <w:ind w:left="0" w:firstLine="560" w:firstLineChars="200"/>
        <w:jc w:val="both"/>
        <w:textAlignment w:val="baseline"/>
        <w:outlineLvl w:val="9"/>
        <w:rPr>
          <w:rFonts w:hint="eastAsia" w:ascii="宋体" w:hAnsi="宋体" w:eastAsia="宋体" w:cs="宋体"/>
          <w:b w:val="false"/>
          <w:bCs w:val="false"/>
          <w:color w:val="auto"/>
          <w:sz w:val="28"/>
          <w:szCs w:val="28"/>
          <w:lang w:val="en-US" w:eastAsia="zh-CN"/>
        </w:rPr>
      </w:pPr>
      <w:r>
        <w:rPr>
          <w:rFonts w:hint="eastAsia" w:ascii="宋体" w:hAnsi="宋体" w:eastAsia="宋体" w:cs="宋体"/>
          <w:b w:val="false"/>
          <w:bCs w:val="false"/>
          <w:color w:val="auto"/>
          <w:sz w:val="28"/>
          <w:szCs w:val="28"/>
          <w:lang w:val="en-US" w:eastAsia="zh-CN"/>
        </w:rPr>
        <w:t>本项目建设光伏电站所使用的屋顶为获嘉县产业集聚孵化园有限公司名下工业厂房及配套用房9栋，面积31530.09平方米，所有房产均已竣工验收，正在办理不动产权利登记证书。产业园厂房空间道路上方空地等空间较大，可直接按照柔性光伏，可利用面积5677.13㎡。</w:t>
      </w:r>
    </w:p>
    <w:p>
      <w:pPr>
        <w:keepNext w:val="false"/>
        <w:keepLines w:val="false"/>
        <w:pageBreakBefore w:val="false"/>
        <w:widowControl w:val="false"/>
        <w:kinsoku/>
        <w:wordWrap/>
        <w:overflowPunct/>
        <w:topLinePunct/>
        <w:autoSpaceDE w:val="false"/>
        <w:autoSpaceDN/>
        <w:bidi w:val="false"/>
        <w:snapToGrid/>
        <w:spacing w:before="157" w:beforeLines="50" w:after="157" w:line="480" w:lineRule="auto"/>
        <w:ind w:left="0" w:right="0" w:firstLine="420"/>
        <w:jc w:val="both"/>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t>河南中原智慧冷链物流园管理运营有限公司已与获嘉县产业集聚区创业孵化园有限公司同为获嘉县产业集聚区运营发展服务有限公司的全资子公司，双方已签订屋顶租赁使用协议。</w:t>
      </w:r>
    </w:p>
    <w:p>
      <w:pPr>
        <w:keepNext w:val="false"/>
        <w:keepLines w:val="false"/>
        <w:pageBreakBefore w:val="false"/>
        <w:widowControl w:val="false"/>
        <w:kinsoku/>
        <w:wordWrap/>
        <w:overflowPunct/>
        <w:topLinePunct/>
        <w:autoSpaceDE w:val="false"/>
        <w:autoSpaceDN/>
        <w:bidi w:val="false"/>
        <w:snapToGrid/>
        <w:spacing w:before="157" w:beforeLines="50" w:after="157" w:line="480" w:lineRule="auto"/>
        <w:ind w:left="0" w:right="0" w:firstLine="0"/>
        <w:jc w:val="center"/>
        <w:textAlignment w:val="baseline"/>
        <w:rPr>
          <w:rFonts w:ascii="宋体" w:hAnsi="宋体" w:eastAsia="宋体" w:cs="宋体"/>
          <w:b/>
          <w:bCs/>
          <w:sz w:val="28"/>
        </w:rPr>
      </w:pPr>
      <w:r>
        <w:rPr>
          <w:rFonts w:ascii="宋体" w:hAnsi="宋体" w:eastAsia="宋体" w:cs="宋体"/>
          <w:b/>
          <w:bCs/>
          <w:sz w:val="28"/>
        </w:rPr>
        <w:t>屋顶及闲置区域使用详情表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533" w:hRule="atLeast"/>
          <w:tblHeader/>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b/>
                <w:bCs/>
                <w:sz w:val="21"/>
                <w:szCs w:val="21"/>
              </w:rPr>
            </w:pPr>
            <w:r>
              <w:rPr>
                <w:rFonts w:hint="eastAsia" w:ascii="宋体" w:hAnsi="宋体" w:eastAsia="宋体" w:cs="宋体"/>
                <w:b/>
                <w:bCs/>
                <w:i w:val="false"/>
                <w:strike w:val="false"/>
                <w:color w:val="000000"/>
                <w:spacing w:val="0"/>
                <w:sz w:val="21"/>
                <w:szCs w:val="21"/>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b/>
                <w:bCs/>
                <w:sz w:val="21"/>
                <w:szCs w:val="21"/>
              </w:rPr>
            </w:pPr>
            <w:r>
              <w:rPr>
                <w:rFonts w:hint="eastAsia" w:ascii="宋体" w:hAnsi="宋体" w:eastAsia="宋体" w:cs="宋体"/>
                <w:b/>
                <w:bCs/>
                <w:i w:val="false"/>
                <w:strike w:val="false"/>
                <w:color w:val="000000"/>
                <w:spacing w:val="0"/>
                <w:sz w:val="21"/>
                <w:szCs w:val="21"/>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b/>
                <w:bCs/>
                <w:sz w:val="21"/>
                <w:szCs w:val="21"/>
              </w:rPr>
            </w:pPr>
            <w:r>
              <w:rPr>
                <w:rFonts w:hint="eastAsia" w:ascii="宋体" w:hAnsi="宋体" w:eastAsia="宋体" w:cs="宋体"/>
                <w:b/>
                <w:bCs/>
                <w:i w:val="false"/>
                <w:strike w:val="false"/>
                <w:color w:val="000000"/>
                <w:spacing w:val="0"/>
                <w:sz w:val="21"/>
                <w:szCs w:val="21"/>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b/>
                <w:bCs/>
                <w:sz w:val="21"/>
                <w:szCs w:val="21"/>
              </w:rPr>
            </w:pPr>
            <w:r>
              <w:rPr>
                <w:rFonts w:hint="eastAsia" w:ascii="宋体" w:hAnsi="宋体" w:eastAsia="宋体" w:cs="宋体"/>
                <w:b/>
                <w:bCs/>
                <w:i w:val="false"/>
                <w:strike w:val="false"/>
                <w:color w:val="000000"/>
                <w:spacing w:val="0"/>
                <w:sz w:val="21"/>
                <w:szCs w:val="21"/>
                <w:u w:val="none"/>
              </w:rPr>
              <w:t>总建筑面积(²)</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5232.76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7758.74</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6798.84</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4321.26</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50096.4</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r>
              <w:rPr>
                <w:rFonts w:hint="eastAsia" w:ascii="宋体" w:hAnsi="宋体" w:eastAsia="宋体" w:cs="宋体"/>
                <w:i w:val="false"/>
                <w:strike w:val="false"/>
                <w:color w:val="000000"/>
                <w:spacing w:val="0"/>
                <w:sz w:val="21"/>
                <w:szCs w:val="21"/>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rFonts w:hint="eastAsia" w:ascii="宋体" w:hAnsi="宋体" w:eastAsia="宋体" w:cs="宋体"/>
                <w:sz w:val="21"/>
                <w:szCs w:val="21"/>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33" w:name="_Toc14012"/>
      <w:r>
        <w:rPr>
          <w:rFonts w:hint="eastAsia" w:ascii="宋体" w:hAnsi="宋体" w:eastAsia="宋体" w:cs="宋体"/>
          <w:b/>
          <w:bCs/>
          <w:sz w:val="28"/>
          <w:szCs w:val="28"/>
          <w:lang w:val="en-US" w:eastAsia="zh-CN"/>
        </w:rPr>
        <w:t>2.2 项目主体发展战略需求分析</w:t>
      </w:r>
      <w:bookmarkEnd w:id="33"/>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 xml:space="preserve">2.2.1 </w:t>
      </w:r>
      <w:r>
        <w:rPr>
          <w:rFonts w:hint="eastAsia" w:ascii="宋体" w:hAnsi="宋体" w:eastAsia="宋体" w:cs="宋体"/>
          <w:b/>
          <w:bCs/>
          <w:sz w:val="28"/>
          <w:szCs w:val="28"/>
          <w:lang w:val="en-US" w:eastAsia="zh-CN"/>
        </w:rPr>
        <w:t>获嘉县</w:t>
      </w:r>
      <w:r>
        <w:rPr>
          <w:rFonts w:hint="eastAsia" w:ascii="宋体" w:hAnsi="宋体" w:eastAsia="宋体" w:cs="宋体"/>
          <w:b/>
          <w:bCs/>
          <w:sz w:val="28"/>
          <w:szCs w:val="28"/>
        </w:rPr>
        <w:t>发展对项目需要分析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color w:val="auto"/>
          <w:sz w:val="28"/>
          <w:szCs w:val="28"/>
        </w:rPr>
        <w:t>1、</w:t>
      </w:r>
      <w:r>
        <w:rPr>
          <w:rFonts w:hint="eastAsia" w:ascii="宋体" w:hAnsi="宋体" w:eastAsia="宋体" w:cs="宋体"/>
          <w:b/>
          <w:bCs/>
          <w:color w:val="auto"/>
          <w:sz w:val="28"/>
          <w:szCs w:val="28"/>
          <w:lang w:val="en-US" w:eastAsia="zh-CN"/>
        </w:rPr>
        <w:t>获嘉县</w:t>
      </w:r>
      <w:r>
        <w:rPr>
          <w:rFonts w:hint="eastAsia" w:ascii="宋体" w:hAnsi="宋体" w:eastAsia="宋体" w:cs="宋体"/>
          <w:b/>
          <w:bCs/>
          <w:color w:val="auto"/>
          <w:sz w:val="28"/>
          <w:szCs w:val="28"/>
        </w:rPr>
        <w:t>政府需要为中小企业打造降本增效的营商环境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2023年获嘉县的地区生产总值（GDP）为200.2亿元，同比增长2.3%‌‌。第一产业增加值377953万元，增长0.4%；第二产业增加值749021万元，增长3.1%；第三产业增加值875048万元，增长2.3%。三次产业结构为18.9∶37.4∶43.7‌。社会消费品零售总额完成76.9亿元，增长4.6%；规模以上工业增加值增长7%；一般公共预算收入完成9.61亿元，同比增长11.1%。</w:t>
      </w:r>
      <w:r>
        <w:rPr>
          <w:rFonts w:hint="eastAsia" w:ascii="宋体" w:hAnsi="宋体" w:eastAsia="宋体" w:cs="宋体"/>
          <w:color w:val="auto"/>
          <w:sz w:val="28"/>
          <w:szCs w:val="28"/>
        </w:rPr>
        <w:t>全</w:t>
      </w:r>
      <w:r>
        <w:rPr>
          <w:rFonts w:hint="eastAsia" w:ascii="宋体" w:hAnsi="宋体" w:eastAsia="宋体" w:cs="宋体"/>
          <w:color w:val="auto"/>
          <w:sz w:val="28"/>
          <w:szCs w:val="28"/>
          <w:lang w:val="en-US" w:eastAsia="zh-CN"/>
        </w:rPr>
        <w:t>县</w:t>
      </w:r>
      <w:r>
        <w:rPr>
          <w:rFonts w:hint="eastAsia" w:ascii="宋体" w:hAnsi="宋体" w:eastAsia="宋体" w:cs="宋体"/>
          <w:color w:val="auto"/>
          <w:sz w:val="28"/>
          <w:szCs w:val="28"/>
        </w:rPr>
        <w:t>经济呈现平稳运行、稳中有进的良好态势。作为一个工业企业聚集区，</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拥有众多蓬勃发展的工业企业，拥有众多政府优惠政策支持。</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以其庞大的工业群体而闻名，涵盖制造业、加工业、</w:t>
      </w:r>
      <w:r>
        <w:rPr>
          <w:rFonts w:hint="eastAsia" w:ascii="宋体" w:hAnsi="宋体" w:eastAsia="宋体" w:cs="宋体"/>
          <w:color w:val="auto"/>
          <w:sz w:val="28"/>
          <w:szCs w:val="28"/>
          <w:lang w:val="en-US" w:eastAsia="zh-CN"/>
        </w:rPr>
        <w:t>化工业、</w:t>
      </w:r>
      <w:r>
        <w:rPr>
          <w:rFonts w:hint="eastAsia" w:ascii="宋体" w:hAnsi="宋体" w:eastAsia="宋体" w:cs="宋体"/>
          <w:color w:val="auto"/>
          <w:sz w:val="28"/>
          <w:szCs w:val="28"/>
        </w:rPr>
        <w:t>绿色能源业等多个行业领域。此外，</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的工业企业对电力的需求也极其巨大，电力作为生产和运营的重要能源，对企业的日常运作至关重要。</w:t>
      </w:r>
      <w:r>
        <w:rPr>
          <w:rFonts w:hint="eastAsia" w:ascii="宋体" w:hAnsi="宋体" w:eastAsia="宋体" w:cs="宋体"/>
          <w:color w:val="auto"/>
          <w:sz w:val="28"/>
          <w:szCs w:val="28"/>
          <w:lang w:val="en-US" w:eastAsia="zh-CN"/>
        </w:rPr>
        <w:t>源网荷储一体化</w:t>
      </w:r>
      <w:r>
        <w:rPr>
          <w:rFonts w:hint="eastAsia" w:ascii="宋体" w:hAnsi="宋体" w:eastAsia="宋体" w:cs="宋体"/>
          <w:color w:val="auto"/>
          <w:sz w:val="28"/>
          <w:szCs w:val="28"/>
        </w:rPr>
        <w:t>的建设能满足</w:t>
      </w:r>
      <w:r>
        <w:rPr>
          <w:rFonts w:hint="eastAsia" w:ascii="宋体" w:hAnsi="宋体" w:eastAsia="宋体" w:cs="宋体"/>
          <w:color w:val="auto"/>
          <w:sz w:val="28"/>
          <w:szCs w:val="28"/>
          <w:lang w:val="en-US" w:eastAsia="zh-CN"/>
        </w:rPr>
        <w:t>园区内部</w:t>
      </w:r>
      <w:r>
        <w:rPr>
          <w:rFonts w:hint="eastAsia" w:ascii="宋体" w:hAnsi="宋体" w:eastAsia="宋体" w:cs="宋体"/>
          <w:color w:val="auto"/>
          <w:sz w:val="28"/>
          <w:szCs w:val="28"/>
        </w:rPr>
        <w:t>企业</w:t>
      </w:r>
      <w:r>
        <w:rPr>
          <w:rFonts w:hint="eastAsia" w:ascii="宋体" w:hAnsi="宋体" w:eastAsia="宋体" w:cs="宋体"/>
          <w:color w:val="auto"/>
          <w:sz w:val="28"/>
          <w:szCs w:val="28"/>
          <w:lang w:val="en-US" w:eastAsia="zh-CN"/>
        </w:rPr>
        <w:t>及周边企业</w:t>
      </w:r>
      <w:r>
        <w:rPr>
          <w:rFonts w:hint="eastAsia" w:ascii="宋体" w:hAnsi="宋体" w:eastAsia="宋体" w:cs="宋体"/>
          <w:color w:val="auto"/>
          <w:sz w:val="28"/>
          <w:szCs w:val="28"/>
        </w:rPr>
        <w:t>日常经营用电需求，提供稳定、廉价的用电服务，同时为企业降本增效提供了坚实的保障基础。</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firstLine="550"/>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2、河南中原智慧冷链物流园管理运营有限公司需要筹划优质项目丰富经营项目结构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lang w:val="en-US" w:eastAsia="zh-CN"/>
        </w:rPr>
        <w:t>河南中原智慧冷链物流园管理运营有限公司作为</w:t>
      </w:r>
      <w:r>
        <w:rPr>
          <w:rFonts w:hint="eastAsia" w:ascii="宋体" w:hAnsi="宋体" w:eastAsia="宋体" w:cs="宋体"/>
          <w:color w:val="auto"/>
          <w:sz w:val="28"/>
          <w:szCs w:val="28"/>
        </w:rPr>
        <w:t>本项目的项目公司，其目前主要经</w:t>
      </w:r>
      <w:r>
        <w:rPr>
          <w:rFonts w:hint="eastAsia" w:ascii="宋体" w:hAnsi="宋体" w:eastAsia="宋体" w:cs="宋体"/>
          <w:color w:val="auto"/>
          <w:sz w:val="28"/>
          <w:szCs w:val="28"/>
          <w:lang w:val="en-US" w:eastAsia="zh-CN"/>
        </w:rPr>
        <w:t>营园区管理、仓储冷链服务</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普通仓储</w:t>
      </w:r>
      <w:r>
        <w:rPr>
          <w:rFonts w:hint="eastAsia" w:ascii="宋体" w:hAnsi="宋体" w:eastAsia="宋体" w:cs="宋体"/>
          <w:color w:val="auto"/>
          <w:sz w:val="28"/>
          <w:szCs w:val="28"/>
        </w:rPr>
        <w:t>及</w:t>
      </w:r>
      <w:r>
        <w:rPr>
          <w:rFonts w:hint="eastAsia" w:ascii="宋体" w:hAnsi="宋体" w:eastAsia="宋体" w:cs="宋体"/>
          <w:color w:val="auto"/>
          <w:sz w:val="28"/>
          <w:szCs w:val="28"/>
          <w:lang w:val="en-US" w:eastAsia="zh-CN"/>
        </w:rPr>
        <w:t>农产品加工销售</w:t>
      </w:r>
      <w:r>
        <w:rPr>
          <w:rFonts w:hint="eastAsia" w:ascii="宋体" w:hAnsi="宋体" w:eastAsia="宋体" w:cs="宋体"/>
          <w:color w:val="auto"/>
          <w:sz w:val="28"/>
          <w:szCs w:val="28"/>
        </w:rPr>
        <w:t>等活动。经营项目较为传统单一。拟建项目将为河南中原智慧冷链物流园管理运营有限公司丰富经营项目结构提供一个适宜的目标，并在项目运作过程中积累经验和资金，促进经营性转型。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t>2.2.2 拟建项目对促进获嘉县发展战略落地的紧迫性和重要性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color w:val="auto"/>
          <w:sz w:val="28"/>
          <w:szCs w:val="28"/>
        </w:rPr>
        <w:t>目前，在</w:t>
      </w:r>
      <w:r>
        <w:rPr>
          <w:rFonts w:hint="eastAsia" w:ascii="宋体" w:hAnsi="宋体" w:eastAsia="宋体" w:cs="宋体"/>
          <w:color w:val="auto"/>
          <w:sz w:val="28"/>
          <w:szCs w:val="28"/>
          <w:lang w:val="en-US" w:eastAsia="zh-CN"/>
        </w:rPr>
        <w:t>经济趋势下行的</w:t>
      </w:r>
      <w:r>
        <w:rPr>
          <w:rFonts w:hint="eastAsia" w:ascii="宋体" w:hAnsi="宋体" w:eastAsia="宋体" w:cs="宋体"/>
          <w:color w:val="auto"/>
          <w:sz w:val="28"/>
          <w:szCs w:val="28"/>
        </w:rPr>
        <w:t>大环境下</w:t>
      </w:r>
      <w:r>
        <w:rPr>
          <w:rFonts w:hint="eastAsia" w:ascii="宋体" w:hAnsi="宋体" w:eastAsia="宋体" w:cs="宋体"/>
          <w:color w:val="auto"/>
          <w:sz w:val="28"/>
          <w:szCs w:val="28"/>
          <w:lang w:val="en-US" w:eastAsia="zh-CN"/>
        </w:rPr>
        <w:t>获嘉县</w:t>
      </w:r>
      <w:r>
        <w:rPr>
          <w:rFonts w:hint="eastAsia" w:ascii="宋体" w:hAnsi="宋体" w:eastAsia="宋体" w:cs="宋体"/>
          <w:color w:val="auto"/>
          <w:sz w:val="28"/>
          <w:szCs w:val="28"/>
        </w:rPr>
        <w:t>企业经营普遍遇到困难，降本增效是经营中最急迫的工作。在这个市场出清时期，如果企业寻找出减低经营成本道路，有</w:t>
      </w:r>
      <w:r>
        <w:rPr>
          <w:rFonts w:hint="eastAsia" w:ascii="宋体" w:hAnsi="宋体" w:eastAsia="宋体" w:cs="宋体"/>
          <w:color w:val="auto"/>
          <w:sz w:val="28"/>
          <w:szCs w:val="28"/>
          <w:lang w:eastAsia="zh-CN"/>
        </w:rPr>
        <w:t>可能</w:t>
      </w:r>
      <w:r>
        <w:rPr>
          <w:rFonts w:hint="eastAsia" w:ascii="宋体" w:hAnsi="宋体" w:eastAsia="宋体" w:cs="宋体"/>
          <w:color w:val="auto"/>
          <w:sz w:val="28"/>
          <w:szCs w:val="28"/>
        </w:rPr>
        <w:t>面临被淘汰出局的风险。拟建项目利用</w:t>
      </w:r>
      <w:r>
        <w:rPr>
          <w:rFonts w:hint="eastAsia" w:ascii="宋体" w:hAnsi="宋体" w:eastAsia="宋体" w:cs="宋体"/>
          <w:color w:val="auto"/>
          <w:sz w:val="28"/>
          <w:szCs w:val="28"/>
          <w:lang w:val="en-US" w:eastAsia="zh-CN"/>
        </w:rPr>
        <w:t>源网荷储一体化的优势和政府支持条件</w:t>
      </w:r>
      <w:r>
        <w:rPr>
          <w:rFonts w:hint="eastAsia" w:ascii="宋体" w:hAnsi="宋体" w:eastAsia="宋体" w:cs="宋体"/>
          <w:color w:val="auto"/>
          <w:sz w:val="28"/>
          <w:szCs w:val="28"/>
        </w:rPr>
        <w:t>，极大程度上解决</w:t>
      </w:r>
      <w:r>
        <w:rPr>
          <w:rFonts w:hint="eastAsia" w:ascii="宋体" w:hAnsi="宋体" w:eastAsia="宋体" w:cs="宋体"/>
          <w:color w:val="auto"/>
          <w:sz w:val="28"/>
          <w:szCs w:val="28"/>
          <w:lang w:val="en-US" w:eastAsia="zh-CN"/>
        </w:rPr>
        <w:t>项目园区内及周边</w:t>
      </w:r>
      <w:r>
        <w:rPr>
          <w:rFonts w:hint="eastAsia" w:ascii="宋体" w:hAnsi="宋体" w:eastAsia="宋体" w:cs="宋体"/>
          <w:color w:val="auto"/>
          <w:sz w:val="28"/>
          <w:szCs w:val="28"/>
        </w:rPr>
        <w:t>中小企业用电贵、成本高的困境，更能提高能源供给的可靠性和稳定性，从能源方面降低企业生产成本，也能给企业转型升级争取时间和机会。</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34" w:name="_Toc5481"/>
      <w:bookmarkStart w:id="35" w:name="_Toc19993"/>
      <w:r>
        <w:rPr>
          <w:rFonts w:hint="eastAsia" w:ascii="宋体" w:hAnsi="宋体" w:eastAsia="宋体" w:cs="宋体"/>
          <w:b/>
          <w:bCs/>
          <w:sz w:val="28"/>
          <w:szCs w:val="28"/>
          <w:lang w:val="en-US" w:eastAsia="zh-CN"/>
        </w:rPr>
        <w:t>2.3 项目市场需求分析</w:t>
      </w:r>
      <w:bookmarkEnd w:id="34"/>
      <w:bookmarkEnd w:id="35"/>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2.3.1 项目的业态分析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本项目业态大致分为：源网荷储、光伏发电、储能调峰、分布式换电储能系统、光储充电桩。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源网荷储作为一种新型电力系统综合业态，正深刻影响着能源产业格局。从电源端来看，传统火电在能源结构调整下，逐步向灵活性改造方向发展，以更好地平衡新能源发电的间歇性与波动性；与此同时，风电、光伏等清洁能源装机规模持续增长，其发电成本不断降低，成为能源供应的重要力量。电网层面，随着分布式电源的广泛接入以及电力负荷的动态变化，电网的智能化升级迫在眉睫，需要加强输电网络的韧性与配电网的灵活性，以实现电力的高效传输与精准分配，例如采用先进的电力电子技术、智能监控系统等提升电网的运行效率与可靠性。负荷侧，工业、商业、居民等各类用户对于电能质量与可靠性的要求日益提高，通过需求响应机制、节能技术应用等手段，实现削峰填谷，优化电力资源配置，降低用电成本。储能则是整个业态的关键支撑，无论是电化学储能、抽水蓄能还是其他新型储能技术，都在发挥着“蓄水池”作用，存储多余电能，在用电高峰或发电不足时释放，平抑功率波动、增强系统稳定性，促进源网荷各环节的紧密协同，提升电力系统整体的安全性、经济性和灵活性，推动能源行业朝着绿色低碳、智能高效的方向迈进，催生了新的商业模式和市场机遇，如储能参与辅助服务市场、虚拟电厂的兴起等，为能源产业的可持续发展注入新活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2、光伏发电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发电业态是一种利用太阳能转化为电能的可再生能源解决方案，通过光伏电池板将太阳光中的光子转化为电力，以满足日益增长的能源需求。该业态涵盖了从光伏组件的制造、系统的设计与安装，到电力的生产和销售等全过程，形成了一个完整的产业链。光伏发电系统主要包括光伏电池板、逆变器、支架、监控系统等设备，光伏电池板通过光电效应将太阳光转化为直流电，再通过逆变器将直流电转换为交流电，以便于并入电网或供给直接使用。光伏发电不仅能够有效减少对化石燃料的依赖，降低温室气体排放，还能通过其可再生特性提供稳定的电力供应，促进能源结构的优化。该业态的关键在于技术进步和成本控制，随着光伏技术的不断革新和规模效应的提升，光伏发电的成本逐年下降，使其在全球范围内得到广泛应用。此外，光伏发电系统具有较低的维护成本和长期的经济效益，适合于住宅、商业建筑以及大型光伏电站等多种应用场景。通过政策支持、市场推动和技术创新，光伏发电业态正在加速全球能源转型，为实现可持续发展目标和应对气候变化挑战做出重要贡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3、储能调峰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调峰业态是现代能源系统中的关键组成部分，通过先进的储能技术平衡电力供应与需求的波动，提高电网的稳定性和可靠性。该业态主要涉及使用各种储能设备，如锂电池、钠硫电池、抽水蓄能、压缩空气储能等，将电力存储在需求低峰期，并在需求高峰期释放，以补充电网供电不足的问题。这种调峰能力能够有效应对可再生能源（如风能和太阳能）的间歇性特征，使其能够在电力需求高峰期间平稳地供电，提高系统的整体运行效率。储能调峰不仅优化了电力系统的运行，减少了电力波动对电网的冲击，还延长了设备的使用寿命，降低了电力系统的整体运营成本。此外，通过智能化的调度和管理系统，储能调峰业态能够实现对电力生产和消费的精准预测和调节，使电网的负荷分布更加均衡，从而提高能源利用效率。储能技术的进步和成本的降低使得这一业态在未来能源转型中具有广阔的发展前景，为实现绿色低碳目标和构建高效、稳定的能源系统提供了有力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4、分布式换电储能系统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分布式换电储能系统犹如一个智能储能“百宝箱”，为电动自行车用户带来高效便捷的能源补给新体验。它的核心作用在于实现电瓶的集中存储、智能管理与快速更换，极大节省用户充电时间。用户骑行电动自行车电量不足时，只需前往就近的换电柜，通过手机扫码操作，便能迅速取出满电电瓶完成更换，全程仅需数秒，有效解决传统充电耗时长的痛点。在优势方面，该系统采用分布式布局，能广泛覆盖社区、商圈、交通枢纽等区域，提高服务可达性；内置智能监测系统实时监控电瓶状态，确保用电安全，避免过充、短路等隐患；同时，通过峰谷电价机制对电瓶进行储能充电，优化电力资源利用，降低运营成本，还能减轻电网高峰负荷压力。其模式与铁塔换电相似，为城市电动自行车用户打造了高效、安全、灵活的能源服务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5、光储充电桩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储充电桩作为光伏发电业态的创新应用，在能源领域发挥着重要作用。它融合了光伏发电与储能技术，以满足新能源汽车充电需求。其工作原理基于光伏发电系统，由光伏电池板借助光电效应，将太阳光中的光子转化为直流电，再经逆变器转换为交流电。光储充电桩涵盖了从光伏组件制造，到系统设计、安装，再到电力供应的完整产业链环节。光储充电桩配备了储能设备。在光照充足时，可将多余电能储存起来，确保在光照不足或用电高峰时，仍能稳定为新能源汽车充电，避免充电中断。其产生的电力不仅能直接用于车辆充电，还减少了对传统电网的依赖，降低了充电成本，契合绿色环保理念，有效降低碳排放。光储充电桩凭借技术进步与规模效应，成本逐渐降低，维护成本也较低。其安装灵活，适用于居民小区、商业广场、公共充电站等多种场景。</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2.3.2 目标市场环境和容量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1、源网荷储市场环境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近年来国家不断下发政策性文件支持开发建设源网荷储一体化项目，同时地方需求也在不断增加，获嘉县建设源网荷储一体化项目市场环境较为乐观。在政策方面，国家大力倡导绿色能源发展，推进源网荷储一体化建设，河南省也出台了一系列政策细则，如《河南省加快推进源网荷储一体化实施方案》，明确了项目实施范围、重点任务及保障措施，为获嘉县的项目提供了方向指引和政策支持，鼓励企业积极参与新能源建设，提升清洁能源占比，推动配网改造升级和储能设施建设，保障项目的并网消纳等权益，营造了良好的政策氛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市场需求来看，随着当地经济的发展，工业用电需求持续增长，尤其是获嘉县工业集聚区的众多企业，如中新化工、中小企业孵化园、河南晶瑞日用品、大成包装等，用电量大且对电能质量和稳定性要求较高，源网荷储一体化项目能够就地消纳新能源电力，降低企业用电成本，满足其稳定可靠的电力需求，具有较大的市场吸引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2、源网荷储市场容量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当地经济的稳步前行，各产业尤其是工业领域呈现出蓬勃发展态势，用电需求持续攀升。众多中小企业不断发展壮大，其生产运营对电力的依赖程度与日俱增，为源网荷储一体化项目提供了坚实的市场基础。在当前能源转型的大趋势下，绿色能源成为降低企业运营成本、提高生产效率的关键要素。对于获嘉县的中小企业而言，源网荷储一体化项目所提供的清洁电能，不仅能满足其日益增长的电力需求，保障生产活动的稳定开展，还能借助绿电的价格优势以及储能系统对峰谷电价差的有效利用，大幅降低用电成本，增强市场竞争力。从长期来看，随着技术的不断进步与完善，源网荷储一体化项目的应用范围将进一步拓展，无论是工业园区、商业综合体还是居民社区，都将成为潜在的市场增长点，其市场容量有望持续扩充，在满足获嘉县能源需求、推动绿色发展的道路上发挥关键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3、“充换电一体化”市场环境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充换电一体化市场受政策大力扶持，发展环境极为利好。2023年5月，国家发展改革委与国家能源局联合印发《关于加快推进充电基础设施建设更好支持新能源汽车下乡和乡村振兴的实施意见》，明确提出探索在充电桩利用率较低的农村地区，建设光伏发电、储能、充换电一体化设施，为项目在乡镇布局提供政策依据。同年6月，国务院办公厅发布的《关于进一步构建高质量充电基础设施体系的指导意见》，着重强调推动光储充换一体站等试点示范，凸显国家对充换电一体化发展的重视与引导。2024年4月，财政部、工业和信息化部、交通运输部联合发布《关于开展县域充换电设施补短板试点工作的通知》，计划开展“百县千站万桩”试点工程，鼓励分布式光伏覆盖较好的农村地区建设一体化充电基础设施，这为项目落地提供了有力的政策支撑与资金扶持预期。在此背景下，本项目在获嘉县推进充换电一体化建设，不仅契合国家战略导向，还能充分利用政策红利，加速项目落地与运营，在市场竞争中占得先机，有力推动区域新能源充换电服务迈向新高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4、“充换电一体化”市场容量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当前，获嘉县充换电一体化市场发展尚处于起步阶段，现有充换电设施多以单一充电功能为主，兼具光伏发电、储能调节与快速换电功能的一体化设施数量极少，难以满足日益增长的多元化需求。随着“双碳”目标深入推进，新能源汽车在当地的普及速度不断加快，网约车、物流车等运营车辆规模持续扩大，私家车与非机动车保有量也呈现显著增长态势，市场对高效、便捷、综合性充换电服务的需求愈发迫切。在此背景下，充换电一体化市场存在巨大的容量空间亟待开发。加之国家相继出台《关于开展县域充换电设施补短板试点工作的通知》等政策，大力支持充换电一体化建设，为市场发展提供了坚实的政策保障。本项目抢先布局“光储充换”一体化设施，将精准对接市场需求，填补区域空白，凭借先发优势占据有利地位，在广阔的市场空间中实现快速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2.3.3 产品或服务价格</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leftChars="0" w:right="0" w:firstLine="560" w:firstLineChars="200"/>
        <w:jc w:val="both"/>
        <w:textAlignment w:val="baseline"/>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拟建项目的收入主要有光伏售电收入、储能调峰收入及光伏充电桩收入。详细费用情况参阅第六章节。</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4</w:t>
      </w:r>
      <w:r>
        <w:rPr>
          <w:rFonts w:hint="eastAsia" w:ascii="宋体" w:hAnsi="宋体" w:eastAsia="宋体" w:cs="宋体"/>
          <w:b/>
          <w:bCs/>
          <w:sz w:val="28"/>
          <w:szCs w:val="28"/>
        </w:rPr>
        <w:t xml:space="preserve"> 市场饱和程度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将根据</w:t>
      </w:r>
      <w:r>
        <w:rPr>
          <w:rFonts w:hint="eastAsia" w:ascii="宋体" w:hAnsi="宋体" w:eastAsia="宋体" w:cs="宋体"/>
          <w:b/>
          <w:bCs/>
          <w:sz w:val="28"/>
          <w:szCs w:val="28"/>
        </w:rPr>
        <w:t>《</w:t>
      </w:r>
      <w:r>
        <w:rPr>
          <w:rFonts w:hint="eastAsia" w:ascii="宋体" w:hAnsi="宋体" w:eastAsia="宋体" w:cs="宋体"/>
          <w:b w:val="false"/>
          <w:bCs w:val="false"/>
          <w:sz w:val="28"/>
          <w:szCs w:val="28"/>
        </w:rPr>
        <w:t>河南省工业企业源网荷储一体化项目实施细则（暂行）》</w:t>
      </w:r>
      <w:r>
        <w:rPr>
          <w:rFonts w:hint="eastAsia" w:ascii="宋体" w:hAnsi="宋体" w:eastAsia="宋体" w:cs="宋体"/>
          <w:b w:val="false"/>
          <w:bCs w:val="false"/>
          <w:sz w:val="28"/>
          <w:szCs w:val="28"/>
          <w:lang w:val="en-US" w:eastAsia="zh-CN"/>
        </w:rPr>
        <w:t>文件要求，以项目建设地为核心点半径20公里内</w:t>
      </w:r>
      <w:r>
        <w:rPr>
          <w:rFonts w:hint="eastAsia" w:ascii="宋体" w:hAnsi="宋体" w:eastAsia="宋体" w:cs="宋体"/>
          <w:color w:val="auto"/>
          <w:sz w:val="28"/>
          <w:szCs w:val="28"/>
        </w:rPr>
        <w:t>就近销售给</w:t>
      </w:r>
      <w:r>
        <w:rPr>
          <w:rFonts w:hint="eastAsia" w:ascii="宋体" w:hAnsi="宋体" w:eastAsia="宋体" w:cs="宋体"/>
          <w:color w:val="auto"/>
          <w:sz w:val="28"/>
          <w:szCs w:val="28"/>
          <w:lang w:val="en-US" w:eastAsia="zh-CN"/>
        </w:rPr>
        <w:t>附近用电企业完成自我消纳，</w:t>
      </w:r>
      <w:r>
        <w:rPr>
          <w:rFonts w:hint="eastAsia" w:ascii="宋体" w:hAnsi="宋体" w:eastAsia="宋体" w:cs="宋体"/>
          <w:color w:val="auto"/>
          <w:sz w:val="28"/>
          <w:szCs w:val="28"/>
        </w:rPr>
        <w:t>本项目所产出的绿色电力能源出售给</w:t>
      </w:r>
      <w:r>
        <w:rPr>
          <w:rFonts w:hint="eastAsia" w:ascii="宋体" w:hAnsi="宋体" w:eastAsia="宋体" w:cs="宋体"/>
          <w:i w:val="false"/>
          <w:strike w:val="false"/>
          <w:spacing w:val="0"/>
          <w:sz w:val="28"/>
          <w:szCs w:val="28"/>
          <w:u w:val="none"/>
        </w:rPr>
        <w:t>河南大成包装材料有限公司</w:t>
      </w:r>
      <w:r>
        <w:rPr>
          <w:rFonts w:hint="eastAsia" w:ascii="宋体" w:hAnsi="宋体" w:eastAsia="宋体" w:cs="宋体"/>
          <w:color w:val="auto"/>
          <w:sz w:val="28"/>
          <w:szCs w:val="28"/>
        </w:rPr>
        <w:t>使用</w:t>
      </w:r>
      <w:r>
        <w:rPr>
          <w:rFonts w:hint="eastAsia" w:ascii="宋体" w:hAnsi="宋体" w:eastAsia="宋体" w:cs="宋体"/>
          <w:color w:val="auto"/>
          <w:sz w:val="28"/>
          <w:szCs w:val="28"/>
          <w:lang w:eastAsia="zh-CN"/>
        </w:rPr>
        <w:t>，</w:t>
      </w:r>
      <w:r>
        <w:rPr>
          <w:rFonts w:hint="eastAsia" w:ascii="宋体" w:hAnsi="宋体" w:eastAsia="宋体" w:cs="宋体"/>
          <w:color w:val="000000"/>
          <w:sz w:val="28"/>
          <w:szCs w:val="28"/>
        </w:rPr>
        <w:t>项目光伏、储能年产出绿电约为1690.08万KWH，其中光伏年产电量718.08万KWH，储能年产电量972.00万KWH</w:t>
      </w:r>
      <w:r>
        <w:rPr>
          <w:rFonts w:hint="eastAsia" w:ascii="宋体" w:hAnsi="宋体" w:eastAsia="宋体" w:cs="宋体"/>
          <w:color w:val="000000"/>
          <w:sz w:val="28"/>
          <w:szCs w:val="28"/>
          <w:lang w:eastAsia="zh-CN"/>
        </w:rPr>
        <w:t>（</w:t>
      </w:r>
      <w:r>
        <w:rPr>
          <w:rFonts w:hint="eastAsia" w:ascii="宋体" w:hAnsi="宋体" w:eastAsia="宋体" w:cs="宋体"/>
          <w:color w:val="000000"/>
          <w:sz w:val="28"/>
          <w:szCs w:val="28"/>
          <w:lang w:val="en-US" w:eastAsia="zh-CN"/>
        </w:rPr>
        <w:t>计算</w:t>
      </w:r>
      <w:r>
        <w:rPr>
          <w:rFonts w:hint="eastAsia" w:ascii="宋体" w:hAnsi="宋体" w:eastAsia="宋体" w:cs="宋体"/>
          <w:color w:val="auto"/>
          <w:sz w:val="28"/>
          <w:szCs w:val="28"/>
          <w:lang w:val="en-US" w:eastAsia="zh-CN"/>
        </w:rPr>
        <w:t>公式见第六章内容）</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经调查，目前</w:t>
      </w:r>
      <w:r>
        <w:rPr>
          <w:rFonts w:hint="eastAsia" w:ascii="宋体" w:hAnsi="宋体" w:eastAsia="宋体" w:cs="宋体"/>
          <w:i w:val="false"/>
          <w:strike w:val="false"/>
          <w:spacing w:val="0"/>
          <w:sz w:val="28"/>
          <w:szCs w:val="28"/>
          <w:u w:val="none"/>
        </w:rPr>
        <w:t>河南大成包装材料有限公司</w:t>
      </w:r>
      <w:r>
        <w:rPr>
          <w:rFonts w:hint="eastAsia" w:ascii="宋体" w:hAnsi="宋体" w:eastAsia="宋体" w:cs="宋体"/>
          <w:color w:val="auto"/>
          <w:sz w:val="28"/>
          <w:szCs w:val="28"/>
          <w:lang w:val="en-US" w:eastAsia="zh-CN"/>
        </w:rPr>
        <w:t>年用电量约</w:t>
      </w:r>
      <w:r>
        <w:rPr>
          <w:rFonts w:hint="eastAsia" w:ascii="宋体" w:hAnsi="宋体" w:eastAsia="宋体" w:cs="宋体"/>
          <w:color w:val="000000"/>
          <w:sz w:val="28"/>
          <w:szCs w:val="28"/>
          <w:lang w:val="en-US" w:eastAsia="zh-CN"/>
        </w:rPr>
        <w:t>为6689.68万</w:t>
      </w:r>
      <w:r>
        <w:rPr>
          <w:rFonts w:hint="eastAsia" w:ascii="宋体" w:hAnsi="宋体" w:eastAsia="宋体" w:cs="宋体"/>
          <w:color w:val="000000"/>
          <w:sz w:val="28"/>
          <w:szCs w:val="28"/>
        </w:rPr>
        <w:t>KWH</w:t>
      </w:r>
      <w:r>
        <w:rPr>
          <w:rFonts w:hint="eastAsia" w:ascii="宋体" w:hAnsi="宋体" w:eastAsia="宋体" w:cs="宋体"/>
          <w:color w:val="000000"/>
          <w:sz w:val="28"/>
          <w:szCs w:val="28"/>
          <w:lang w:eastAsia="zh-CN"/>
        </w:rPr>
        <w:t>，</w:t>
      </w:r>
      <w:r>
        <w:rPr>
          <w:rFonts w:hint="eastAsia" w:ascii="宋体" w:hAnsi="宋体" w:eastAsia="宋体" w:cs="宋体"/>
          <w:b/>
          <w:color w:val="auto"/>
          <w:sz w:val="28"/>
          <w:szCs w:val="28"/>
          <w:lang w:val="en-US" w:eastAsia="zh-CN"/>
        </w:rPr>
        <w:t>本项目光伏发电将直接供应至河南大成包装材料有限公司平谷时段用电，项目储能将满足该公司在高峰时段电力稳定供应。低谷时段上网电价较低，国网压力较小，用电企业可直接向国网购买，平谷用电不足部分将直接向国网购买。</w:t>
      </w:r>
      <w:r>
        <w:rPr>
          <w:rFonts w:hint="eastAsia" w:ascii="宋体" w:hAnsi="宋体" w:eastAsia="宋体" w:cs="宋体"/>
          <w:b/>
          <w:color w:val="auto"/>
          <w:sz w:val="28"/>
          <w:szCs w:val="28"/>
        </w:rPr>
        <w:t>本项目所产出绿色电力能源销售价格低于国网销售价格，对用电量较大的企业具有致命的吸引力（销售价格详情见第六章盈利能力分析）。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另外，在项目周边半径20公里范围内，还有众多用电量较大的企业，例如：河南金天化工有限公司年用电量约9000万</w:t>
      </w:r>
      <w:r>
        <w:rPr>
          <w:rFonts w:hint="eastAsia" w:ascii="宋体" w:hAnsi="宋体" w:eastAsia="宋体" w:cs="宋体"/>
          <w:b/>
          <w:color w:val="000000"/>
          <w:sz w:val="28"/>
          <w:szCs w:val="28"/>
        </w:rPr>
        <w:t>KWH、新乡中新化工有限责任公司年用电量约6000万KWH、河南宏一纺织有限公司年用电量约4000万KWH，以上企业都可以作为本项目消纳客户。</w:t>
      </w:r>
      <w:r>
        <w:rPr>
          <w:rFonts w:hint="eastAsia" w:ascii="宋体" w:hAnsi="宋体" w:eastAsia="宋体" w:cs="宋体"/>
          <w:b/>
          <w:color w:val="auto"/>
          <w:sz w:val="28"/>
          <w:szCs w:val="28"/>
        </w:rPr>
        <w:t>目标市场环境较好，容量缺口较大</w:t>
      </w:r>
      <w:r>
        <w:rPr>
          <w:rFonts w:hint="eastAsia" w:ascii="宋体" w:hAnsi="宋体" w:eastAsia="宋体" w:cs="宋体"/>
          <w:color w:val="auto"/>
          <w:sz w:val="28"/>
          <w:szCs w:val="28"/>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2.3.</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行业发展趋势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1、能源结构清洁化加速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双碳”目标引领下，清洁能源在源端的占比将持续大幅提高。太阳能、风能凭借其资源丰富、分布广泛且成本持续降低的优势，将实现大规模快速发展，海上风电、分布式光伏等项目建设加速推进。同时，水电、核能等清洁能源也将稳步发展，传统火电则逐步向灵活性改造和调峰兜底角色转变，以适应清洁能源发电的间歇性和波动性，构建以清洁能源为主导的新型电力供应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2、电网智能化升级深化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应对新能源大规模接入和负荷多样化需求，电网将向智能化、柔性化方向深度发展。先进的电力电子技术广泛应用，实现对电流、电压等参数的精准控制和电能的高效变换；智能电网调度系统更加完善，利用大数据、云计算和人工智能技术，对电网运行状态进行实时监测、分析和预测，优化电力资源配置，提高电网可靠性和供电质量，实现源网荷储各环节的智能互动与协调运行，如虚拟电厂等新型电力运营模式将得到更广泛实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3、用户侧灵活性资源潜力释放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需求侧响应在源网荷储体系中的作用日益凸显。工业、商业和居民用户通过安装智能电表、控制系统等设备，实现用电行为的智能化管理，根据电网供需情况和价格信号灵活调整用电负荷，参与削峰填谷，获取经济收益。储能系统在用户侧的应用将更加普及，不仅保障关键负荷的不间断供电，还能利用峰谷电价差套利，降低用电成本，提升能源利用效率，用户从单纯的电力消费者逐渐转变为电力系统的参与者和调节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4、储能技术多元化突破与规模化应用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是源网荷储协同发展的关键支撑，各类储能技术将共同发展并实现突破。锂离子电池储能在技术成熟度和成本控制方面优势明显，短期内仍将占据主导地位，但安全性和资源回收问题将逐步解决；液流电池、钠离子电池等新型电化学储能技术凭借其长寿命、大容量、高安全性等特点，进入商业化推广阶段；抽水蓄能作为大规模储能的成熟技术，建设步伐加快，同时压缩空气储能、飞轮储能、储热等技术也将在各自适用场景下实现规模化应用，为电力系统提供多样化的储能解决方案，增强系统稳定性和灵活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5、市场机制与商业模式创新活跃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源网荷储行业的发展，电力市场机制将不断完善，分时电价、现货市场、辅助服务市场等更加健全，为各市场主体提供公平、透明的交易环境和多元化的盈利途径。源网荷储一体化项目的商业模式将不断创新，如能源服务公司（ESCO）通过整合能源资源，为用户提供一站式能源解决方案，包括能源供应、节能改造、储能租赁等服务；分布式能源运营商通过建设和运营分布式源网荷储系统，实现电力的直接供应，与电网企业建立互利共赢的合作关系，激发市场活力，推动行业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color w:val="000000"/>
          <w:sz w:val="28"/>
          <w:szCs w:val="28"/>
        </w:rPr>
      </w:pPr>
      <w:r>
        <w:rPr>
          <w:rFonts w:hint="eastAsia" w:ascii="宋体" w:hAnsi="宋体" w:eastAsia="宋体" w:cs="宋体"/>
          <w:b/>
          <w:bCs/>
          <w:color w:val="000000"/>
          <w:sz w:val="28"/>
          <w:szCs w:val="28"/>
        </w:rPr>
        <w:t>2.3.</w:t>
      </w: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 xml:space="preserve"> 项目产品或服务的竞争力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hint="eastAsia" w:ascii="宋体" w:hAnsi="宋体" w:eastAsia="宋体" w:cs="宋体"/>
          <w:b w:val="false"/>
          <w:bCs/>
          <w:sz w:val="28"/>
          <w:szCs w:val="28"/>
        </w:rPr>
      </w:pPr>
      <w:r>
        <w:rPr>
          <w:rFonts w:hint="eastAsia" w:ascii="宋体" w:hAnsi="宋体" w:eastAsia="宋体" w:cs="宋体"/>
          <w:b w:val="false"/>
          <w:bCs/>
          <w:i w:val="false"/>
          <w:strike w:val="false"/>
          <w:color w:val="000000"/>
          <w:sz w:val="28"/>
          <w:szCs w:val="28"/>
          <w:u w:val="none"/>
        </w:rPr>
        <w:t>1、项目供电价格低于传统供电价格</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hint="eastAsia" w:ascii="宋体" w:hAnsi="宋体" w:eastAsia="宋体" w:cs="宋体"/>
          <w:b w:val="false"/>
          <w:bCs/>
          <w:sz w:val="28"/>
          <w:szCs w:val="28"/>
        </w:rPr>
      </w:pPr>
      <w:r>
        <w:rPr>
          <w:rFonts w:hint="eastAsia" w:ascii="宋体" w:hAnsi="宋体" w:eastAsia="宋体" w:cs="宋体"/>
          <w:b w:val="false"/>
          <w:bCs/>
          <w:i w:val="false"/>
          <w:strike w:val="false"/>
          <w:color w:val="000000"/>
          <w:sz w:val="28"/>
          <w:szCs w:val="28"/>
          <w:u w:val="none"/>
        </w:rPr>
        <w:t>企业通过使用绿色能源供电相较于使用传统供电，可以获得更低的电价，从而在节省企业运营成本方面具有显著的优势。本项目</w:t>
      </w:r>
      <w:r>
        <w:rPr>
          <w:rFonts w:hint="eastAsia" w:ascii="宋体" w:hAnsi="宋体" w:eastAsia="宋体" w:cs="宋体"/>
          <w:b w:val="false"/>
          <w:bCs/>
          <w:i w:val="false"/>
          <w:strike w:val="false"/>
          <w:color w:val="000000"/>
          <w:sz w:val="28"/>
          <w:szCs w:val="28"/>
          <w:u w:val="none"/>
          <w:lang w:eastAsia="zh-CN"/>
        </w:rPr>
        <w:t>新能源</w:t>
      </w:r>
      <w:r>
        <w:rPr>
          <w:rFonts w:hint="eastAsia" w:ascii="宋体" w:hAnsi="宋体" w:eastAsia="宋体" w:cs="宋体"/>
          <w:b w:val="false"/>
          <w:bCs/>
          <w:i w:val="false"/>
          <w:strike w:val="false"/>
          <w:color w:val="000000"/>
          <w:sz w:val="28"/>
          <w:szCs w:val="28"/>
          <w:u w:val="none"/>
        </w:rPr>
        <w:t>供电采取光伏发电，其生产过程无需消耗有限资源，且不产生温室气体排放，因此在价格上往往更为优惠。其次，政府针对可再生能源的政策支持，如补贴和税收优惠，降低了绿色电力的购买成本。这些政策措施进一步降低了企业的用电成本，帮助企业节省运营费用。</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hint="eastAsia" w:ascii="宋体" w:hAnsi="宋体" w:eastAsia="宋体" w:cs="宋体"/>
          <w:b w:val="false"/>
          <w:bCs/>
          <w:sz w:val="28"/>
          <w:szCs w:val="28"/>
        </w:rPr>
      </w:pPr>
      <w:r>
        <w:rPr>
          <w:rFonts w:hint="eastAsia" w:ascii="宋体" w:hAnsi="宋体" w:eastAsia="宋体" w:cs="宋体"/>
          <w:b w:val="false"/>
          <w:bCs/>
          <w:i w:val="false"/>
          <w:strike w:val="false"/>
          <w:color w:val="000000"/>
          <w:sz w:val="28"/>
          <w:szCs w:val="28"/>
          <w:u w:val="none"/>
        </w:rPr>
        <w:t>2、绿色电力可以协同中小企业绿色转型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hint="eastAsia" w:ascii="宋体" w:hAnsi="宋体" w:eastAsia="宋体" w:cs="宋体"/>
          <w:b w:val="false"/>
          <w:bCs/>
          <w:sz w:val="28"/>
          <w:szCs w:val="28"/>
        </w:rPr>
      </w:pPr>
      <w:r>
        <w:rPr>
          <w:rFonts w:hint="eastAsia" w:ascii="宋体" w:hAnsi="宋体" w:eastAsia="宋体" w:cs="宋体"/>
          <w:b w:val="false"/>
          <w:bCs/>
          <w:i w:val="false"/>
          <w:strike w:val="false"/>
          <w:color w:val="000000"/>
          <w:sz w:val="28"/>
          <w:szCs w:val="28"/>
          <w:u w:val="none"/>
        </w:rPr>
        <w:t>绿色电力的采用可以在多个层面协助企业实现绿色转型。首先，绿色电力供应商通常提供与可再生能源相关的技术和咨询服务，帮助企业评估其能源使用情况，并提出有效的节能方案，从而降低能源消耗和成本。其次，通过与绿色电力供应商建立合作关系，企业可以获得政府的奖励和认可，如绿色证书或减排配额，进而提升其品牌形象和市场竞争力。此外，一些绿色电力供应商还提供灵活的购电方式和定制化的解决方案，满足不同企业的需求</w:t>
      </w:r>
      <w:r>
        <w:rPr>
          <w:rFonts w:hint="eastAsia" w:ascii="宋体" w:hAnsi="宋体" w:eastAsia="宋体" w:cs="宋体"/>
          <w:b w:val="false"/>
          <w:bCs/>
          <w:i w:val="false"/>
          <w:strike w:val="false"/>
          <w:color w:val="000000"/>
          <w:sz w:val="28"/>
          <w:szCs w:val="28"/>
          <w:u w:val="none"/>
          <w:lang w:eastAsia="zh-CN"/>
        </w:rPr>
        <w:t>，</w:t>
      </w:r>
      <w:r>
        <w:rPr>
          <w:rFonts w:hint="eastAsia" w:ascii="宋体" w:hAnsi="宋体" w:eastAsia="宋体" w:cs="宋体"/>
          <w:b w:val="false"/>
          <w:bCs/>
          <w:i w:val="false"/>
          <w:strike w:val="false"/>
          <w:color w:val="000000"/>
          <w:sz w:val="28"/>
          <w:szCs w:val="28"/>
          <w:u w:val="none"/>
        </w:rPr>
        <w:t>使其更容易实施绿色能源转型。另外，作为绿色供应链的一部分，采用绿色电力还可以激励企业的供应商和合作伙伴跟随其步伐，共同推动整个产业链的绿色化转型。最重要的是，绿色电力的使用符合当今社会对环保和可持续发展的迫切需求，中小企业选择绿色电力不仅可以降低环境风险，还可以吸引更多的消费者和投资者，促进企业的长期可持续发展。因此，通过与绿色电力供应商合作，企业可以获得技术支持、市场优势和社会认可，实现可持续发展的双赢局面。</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b w:val="false"/>
          <w:bCs/>
          <w:snapToGrid/>
          <w:color w:val="auto"/>
          <w:spacing w:val="0"/>
          <w:w w:val="100"/>
          <w:kern w:val="2"/>
          <w:position w:val="0"/>
          <w:sz w:val="28"/>
          <w:szCs w:val="28"/>
          <w:lang w:val="en-US" w:eastAsia="zh-CN" w:bidi="zh-CN"/>
        </w:rPr>
      </w:pPr>
      <w:r>
        <w:rPr>
          <w:rFonts w:hint="eastAsia" w:ascii="宋体" w:hAnsi="宋体" w:eastAsia="宋体" w:cs="宋体"/>
          <w:b w:val="false"/>
          <w:bCs/>
          <w:snapToGrid/>
          <w:color w:val="auto"/>
          <w:spacing w:val="0"/>
          <w:w w:val="100"/>
          <w:kern w:val="2"/>
          <w:position w:val="0"/>
          <w:sz w:val="28"/>
          <w:szCs w:val="28"/>
          <w:lang w:val="en-US" w:eastAsia="zh-CN" w:bidi="zh-CN"/>
        </w:rPr>
        <w:t>3、源网荷储根据周边企业用电需求进行降本增效提供了安全廉价的绿色电力能源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b w:val="false"/>
          <w:bCs/>
          <w:snapToGrid/>
          <w:color w:val="auto"/>
          <w:spacing w:val="0"/>
          <w:w w:val="100"/>
          <w:kern w:val="2"/>
          <w:position w:val="0"/>
          <w:sz w:val="28"/>
          <w:szCs w:val="28"/>
          <w:lang w:val="en-US" w:eastAsia="zh-CN" w:bidi="zh-CN"/>
        </w:rPr>
      </w:pPr>
      <w:r>
        <w:rPr>
          <w:rFonts w:hint="eastAsia" w:ascii="宋体" w:hAnsi="宋体" w:eastAsia="宋体" w:cs="宋体"/>
          <w:b w:val="false"/>
          <w:bCs/>
          <w:snapToGrid/>
          <w:color w:val="auto"/>
          <w:spacing w:val="0"/>
          <w:w w:val="100"/>
          <w:kern w:val="2"/>
          <w:position w:val="0"/>
          <w:sz w:val="28"/>
          <w:szCs w:val="28"/>
          <w:lang w:val="en-US" w:eastAsia="zh-CN" w:bidi="zh-CN"/>
        </w:rPr>
        <w:t>在这一模式下，通过整合电源、电网、负荷和储能等环节，实现了能源的高效利用和优化配置。对于周边企业而言，首先，源网荷储模式中的光伏发电等清洁能源发电方式，大大降低了对传统化石能源的依赖。随着技术的不断进步，光伏发电成本持续下降，为企业提供了廉价的电力供应。相比传统能源，绿色电力价格更为稳定，不受国际能源市场波动的影响，有效降低了企业的能源采购成本。其次，储能系统的加入确保了电力供应的稳定性和可靠性。在用电高峰时期，储能系统可以释放电能，满足企业的用电需求，避免因电网负荷过大而导致的停电或限电情况，为企业的生产经营活动提供了安全保障。同时，企业使用绿色电力有助于减少碳排放，满足环保要求，提升企业的社会形象和市场竞争力。此外，源网荷储一体化模式还可以根据企业的用电需求进行个性化定制，实现精准供电，进一步提高能源利用效率。通过智能化的能源管理系统，企业可以实时监测和控制用电情况，优化用电策略，降低能源浪费。总之，源网荷储模式为周边企业带来了安全廉价的绿色电力能源，为企业的可持续发展提供了有力支持。</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2.3.7 项目产品或服务的市场拥有量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截至2024年12月23日，河南省已实施五批源网荷储一体化项目，规模共计5.225GW。其中工业企业类项目占比较大，在已实施的253个项目中，工业企业类项目有49个，占总项目数的比例并不是60%，但工业企业类项目在项目规模上占据了重要部分。以下是对这一情况的具体介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第一批：6月21日，河南省发改委发布《关于实施第一批源网荷储一体化项目的通知》，共包含63个新能源项目，合计规模为2.145GW，其中工业企业类项目49个，规模共计1254.3MW。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80"/>
        <w:gridCol w:w="1990"/>
        <w:gridCol w:w="1345"/>
      </w:tblGrid>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新能源项目（个数）</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新乡地区（个数）</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其他地区（个数）</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备注</w:t>
            </w:r>
          </w:p>
        </w:tc>
      </w:tr>
      <w:tr>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63</w:t>
            </w:r>
          </w:p>
        </w:tc>
        <w:tc>
          <w:tcPr>
            <w:tcW w:w="188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0</w:t>
            </w:r>
          </w:p>
        </w:tc>
        <w:tc>
          <w:tcPr>
            <w:tcW w:w="19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63</w:t>
            </w:r>
          </w:p>
        </w:tc>
        <w:tc>
          <w:tcPr>
            <w:tcW w:w="13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第二批：7月23日，河南省发改委发布《关于实施第二批源网荷储一体化项目的通知》，工业企业类40个项目纳入第二批实施范围，新能源总规模917.71MW。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45</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44</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第三批：8月30日，河南省发改委发布《关于实施第三批源网荷储一体化项目（工业企业类、增量配电网类）的通知》，工业企业类19个项目纳入第三批实施范围，总规模为637.6MW。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备注</w:t>
            </w:r>
          </w:p>
        </w:tc>
      </w:tr>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21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0</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21</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第四批：11月4日，河南省发展和改革委员会发布《关于实施第四批源网荷储一体化项目的通知》，本批次涉及项目规模共653.91MW。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2</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59</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第五批：12月23日，河南省发改委发布《关于实施第五批源网荷储一体化项目的通知》，工业企业类49个项目纳入第五批实施范围，规模共823.999MW，包含风电511.1MW，光伏312.899MW。</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2190"/>
        <w:gridCol w:w="1865"/>
        <w:gridCol w:w="2035"/>
        <w:gridCol w:w="1315"/>
      </w:tblGrid>
      <w:tr>
        <w:trPr>
          <w:trHeight w:val="0"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序号</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新能源项目（个数）</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新乡地区（个数）</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其他地区（个数）</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b/>
                <w:bCs/>
                <w:snapToGrid/>
                <w:color w:val="000000"/>
                <w:spacing w:val="0"/>
                <w:w w:val="100"/>
                <w:kern w:val="2"/>
                <w:position w:val="0"/>
                <w:sz w:val="21"/>
                <w:szCs w:val="21"/>
                <w:lang w:val="en-US" w:eastAsia="zh-CN" w:bidi="zh-CN"/>
              </w:rPr>
            </w:pPr>
            <w:r>
              <w:rPr>
                <w:rFonts w:hint="eastAsia" w:ascii="宋体" w:hAnsi="宋体" w:eastAsia="宋体" w:cs="宋体"/>
                <w:b/>
                <w:bCs/>
                <w:snapToGrid/>
                <w:color w:val="000000"/>
                <w:spacing w:val="0"/>
                <w:w w:val="100"/>
                <w:kern w:val="2"/>
                <w:position w:val="0"/>
                <w:sz w:val="21"/>
                <w:szCs w:val="21"/>
                <w:lang w:val="en-US" w:eastAsia="zh-CN" w:bidi="zh-CN"/>
              </w:rPr>
              <w:t>备注</w:t>
            </w:r>
          </w:p>
        </w:tc>
      </w:tr>
      <w:tr>
        <w:trPr>
          <w:trHeight w:val="703" w:hRule="atLeast"/>
        </w:trPr>
        <w:tc>
          <w:tcPr>
            <w:tcW w:w="84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1</w:t>
            </w:r>
          </w:p>
        </w:tc>
        <w:tc>
          <w:tcPr>
            <w:tcW w:w="2190"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61</w:t>
            </w:r>
          </w:p>
        </w:tc>
        <w:tc>
          <w:tcPr>
            <w:tcW w:w="186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5</w:t>
            </w:r>
          </w:p>
        </w:tc>
        <w:tc>
          <w:tcPr>
            <w:tcW w:w="203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r>
              <w:rPr>
                <w:rFonts w:hint="eastAsia" w:ascii="宋体" w:hAnsi="宋体" w:eastAsia="宋体" w:cs="宋体"/>
                <w:snapToGrid/>
                <w:color w:val="000000"/>
                <w:spacing w:val="0"/>
                <w:w w:val="100"/>
                <w:kern w:val="2"/>
                <w:position w:val="0"/>
                <w:sz w:val="21"/>
                <w:szCs w:val="21"/>
                <w:lang w:val="en-US" w:eastAsia="zh-CN" w:bidi="zh-CN"/>
              </w:rPr>
              <w:t>56</w:t>
            </w:r>
          </w:p>
        </w:tc>
        <w:tc>
          <w:tcPr>
            <w:tcW w:w="1315" w:type="dxa"/>
          </w:tcPr>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jc w:val="center"/>
              <w:textAlignment w:val="auto"/>
              <w:rPr>
                <w:rFonts w:hint="eastAsia" w:ascii="宋体" w:hAnsi="宋体" w:eastAsia="宋体" w:cs="宋体"/>
                <w:snapToGrid/>
                <w:color w:val="000000"/>
                <w:spacing w:val="0"/>
                <w:w w:val="100"/>
                <w:kern w:val="2"/>
                <w:position w:val="0"/>
                <w:sz w:val="21"/>
                <w:szCs w:val="21"/>
                <w:lang w:val="en-US" w:eastAsia="zh-CN" w:bidi="zh-CN"/>
              </w:rPr>
            </w:pP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根据以上内容，河南省已实施源网荷储一体化项目第一批至第五批次，新乡市有8个项目申报建设，此间无获嘉县区域项目，市场拥有量为零。</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36" w:name="_Toc18825"/>
      <w:r>
        <w:rPr>
          <w:rFonts w:hint="eastAsia" w:ascii="宋体" w:hAnsi="宋体" w:eastAsia="宋体" w:cs="宋体"/>
          <w:b/>
          <w:bCs/>
          <w:sz w:val="28"/>
          <w:szCs w:val="28"/>
          <w:lang w:val="en-US" w:eastAsia="zh-CN"/>
        </w:rPr>
        <w:t>2.4 项目建设内容、规模及产出</w:t>
      </w:r>
      <w:bookmarkEnd w:id="36"/>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2.4.1 建设原则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定位：获嘉县产业集聚区中小企业创业孵化园源网荷储一体化项目定位为新能源综合开发利用项目。集光伏发电、储能调峰及源网荷储于一体，致力于解决企业用电贵的问题，为较大用电需求的企业提供绿色能源，推动获嘉县生态与经济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理念：利用源网荷储一体化的优势在孵化园区内工业厂房屋顶及闲置场地安装光伏发电设备并配备储能设备进行调峰。使有较大用电需求的企业用上绿色、稳定、便宜、可靠的电力能源，从而降低生产经营成本，从而促进“双碳”战略的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3、规划思路：通过在孵化园区内建设光伏电站及配套储能所产出的绿色电力能源，根据</w:t>
      </w:r>
      <w:r>
        <w:rPr>
          <w:rFonts w:hint="eastAsia" w:ascii="宋体" w:hAnsi="宋体" w:eastAsia="宋体" w:cs="宋体"/>
          <w:b w:val="false"/>
          <w:bCs w:val="false"/>
          <w:sz w:val="28"/>
          <w:szCs w:val="28"/>
          <w:lang w:val="en-US" w:eastAsia="zh-CN"/>
        </w:rPr>
        <w:t>项目建设地为核心点半径20公里内有较大用电需求的企业提供绿色新能源电力</w:t>
      </w:r>
      <w:r>
        <w:rPr>
          <w:rFonts w:hint="eastAsia" w:ascii="宋体" w:hAnsi="宋体" w:eastAsia="宋体" w:cs="宋体"/>
          <w:color w:val="auto"/>
          <w:sz w:val="28"/>
          <w:szCs w:val="28"/>
        </w:rPr>
        <w:t>，帮助用电企业降低生产经营成本。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4、科学发展的原则，体现数字经济与传统产业融合，坚持可持续发展，注重土地集约利用。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5、高起点、高标准、高效益的原则，启动建设的各项工程一定要服从和服务于总体规划的要求，高起点设计，高标准施工，高效益回报，树精品意识，建样板工程，创一流环境。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6、效益优先的原则，平台建设要有艰苦奋斗的精神，本着少花钱、多办事、办好事的宗旨，精打细算用好每笔资金，集中投入，重点开发，以最小的投入换取最理想的产出。</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2.4.2 发展目标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1、近期目标（2024-2025）：架设光伏，安装储能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本项目近期主要完成光伏电站及储能电站的架设安装，为较大用电需求的企业供应绿色电力能源。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2、远期目标（2026-2036）：形成智能微电网，服务周边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提高发电量，在满足园区内部中小企业用电的同时，向项目周边中小企业开始蔓延，让周边企业也能够享受绿色的电力能源。</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2.4.3 建设内容、规模和产出方案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大成包装材料有限公司源网荷储一体化项目分为两期建设，需要在获嘉县产业集聚区创业孵化园区内工业厂房屋顶部署5956kW的分布式光伏发电系统，并配套安装20MW/40MWh用户侧储能设施（包含3MW充换点储能设备），安装5个600kW液冷光伏充电桩，同步实施园区其他相关配套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为（一期）建设内容，需要在获嘉县产业集聚区创业孵化园区内工业厂房屋顶部署5956kW的分布式光伏发电系统，并配套安装8.5MW/17MWh用户侧储能设施（包含3MW充换点储能设备），安装5个600kW液冷光伏充电桩，同步实施园区其他相关配套工程，利用源网荷储模式为河南大成包装材料有限公司提供绿色电力能源供应；二期将建23MWh储能设施，与一期衔接提升能源调节与保障能力，助力园区能源优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2、光伏储能设备可占用屋顶及闲置空地面积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项目规划利用获嘉县产业集聚区中小企业创业孵化园项目屋顶面积为31530.09m²，园区内可使用道路区域面积为12267.68m²，合计可使用面积为42807.95m²。房产及按照柔性光伏详细情况如下：</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5"/>
        <w:gridCol w:w="1815"/>
        <w:gridCol w:w="2850"/>
        <w:gridCol w:w="2820"/>
      </w:tblGrid>
      <w:tr>
        <w:trPr>
          <w:trHeight w:val="552" w:hRule="atLeast"/>
          <w:tblHeader/>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sz w:val="21"/>
                <w:szCs w:val="21"/>
              </w:rPr>
            </w:pPr>
            <w:r>
              <w:rPr>
                <w:rFonts w:ascii="宋体" w:hAnsi="宋体" w:eastAsia="宋体" w:cs="宋体"/>
                <w:b/>
                <w:bCs/>
                <w:i w:val="false"/>
                <w:strike w:val="false"/>
                <w:color w:val="000000"/>
                <w:spacing w:val="0"/>
                <w:sz w:val="21"/>
                <w:szCs w:val="21"/>
                <w:u w:val="none"/>
              </w:rPr>
              <w:t>序号</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sz w:val="21"/>
                <w:szCs w:val="21"/>
              </w:rPr>
            </w:pPr>
            <w:r>
              <w:rPr>
                <w:rFonts w:ascii="宋体" w:hAnsi="宋体" w:eastAsia="宋体" w:cs="宋体"/>
                <w:b/>
                <w:bCs/>
                <w:i w:val="false"/>
                <w:strike w:val="false"/>
                <w:color w:val="000000"/>
                <w:spacing w:val="0"/>
                <w:sz w:val="21"/>
                <w:szCs w:val="21"/>
                <w:u w:val="none"/>
              </w:rPr>
              <w:t>名称</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sz w:val="21"/>
                <w:szCs w:val="21"/>
              </w:rPr>
            </w:pPr>
            <w:r>
              <w:rPr>
                <w:rFonts w:ascii="宋体" w:hAnsi="宋体" w:eastAsia="宋体" w:cs="宋体"/>
                <w:b/>
                <w:bCs/>
                <w:i w:val="false"/>
                <w:strike w:val="false"/>
                <w:color w:val="000000"/>
                <w:spacing w:val="0"/>
                <w:sz w:val="21"/>
                <w:szCs w:val="21"/>
                <w:u w:val="none"/>
              </w:rPr>
              <w:t>基底面积(m²)</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b/>
                <w:bCs/>
                <w:sz w:val="21"/>
                <w:szCs w:val="21"/>
              </w:rPr>
            </w:pPr>
            <w:r>
              <w:rPr>
                <w:rFonts w:ascii="宋体" w:hAnsi="宋体" w:eastAsia="宋体" w:cs="宋体"/>
                <w:b/>
                <w:bCs/>
                <w:i w:val="false"/>
                <w:strike w:val="false"/>
                <w:color w:val="000000"/>
                <w:spacing w:val="0"/>
                <w:sz w:val="21"/>
                <w:szCs w:val="21"/>
                <w:u w:val="none"/>
              </w:rPr>
              <w:t>总建筑面积(²)</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1</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2616.38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5232.76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2</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3879.37</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7758.74</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3</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4</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6#厂房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3399.42</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6798.84</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5</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8#厂房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6</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9#厂房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2890.38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5780.76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7</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10#厂房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8</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11#厂房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r>
      <w:tr>
        <w:trPr>
          <w:trHeight w:val="420" w:hRule="atLeast"/>
        </w:trPr>
        <w:tc>
          <w:tcPr>
            <w:tcW w:w="97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9</w:t>
            </w:r>
          </w:p>
        </w:tc>
        <w:tc>
          <w:tcPr>
            <w:tcW w:w="1815"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12#厂房</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4321.26</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31530.09</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50096.4</w:t>
            </w: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可使用空闲区域占用面积</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12267.68</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ind w:left="0" w:right="0"/>
              <w:jc w:val="center"/>
              <w:rPr>
                <w:sz w:val="21"/>
                <w:szCs w:val="21"/>
              </w:rPr>
            </w:pPr>
          </w:p>
        </w:tc>
      </w:tr>
      <w:tr>
        <w:trPr>
          <w:trHeight w:val="420" w:hRule="atLeast"/>
        </w:trPr>
        <w:tc>
          <w:tcPr>
            <w:tcW w:w="2790" w:type="dxa"/>
            <w:gridSpan w:val="2"/>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center"/>
          </w:tcPr>
          <w:p>
            <w:pPr>
              <w:widowControl w:val="false"/>
              <w:snapToGrid/>
              <w:spacing w:before="0" w:after="0" w:line="240" w:lineRule="auto"/>
              <w:ind w:left="0" w:right="0"/>
              <w:jc w:val="center"/>
              <w:rPr>
                <w:sz w:val="21"/>
                <w:szCs w:val="21"/>
              </w:rPr>
            </w:pPr>
            <w:r>
              <w:rPr>
                <w:rFonts w:ascii="宋体" w:hAnsi="宋体" w:eastAsia="宋体" w:cs="宋体"/>
                <w:i w:val="false"/>
                <w:strike w:val="false"/>
                <w:color w:val="000000"/>
                <w:spacing w:val="0"/>
                <w:sz w:val="21"/>
                <w:szCs w:val="21"/>
                <w:u w:val="none"/>
              </w:rPr>
              <w:t>共合计</w:t>
            </w:r>
          </w:p>
        </w:tc>
        <w:tc>
          <w:tcPr>
            <w:tcW w:w="285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vertAlign w:val="baseline"/>
              </w:rPr>
              <w:t>42807.95</w:t>
            </w:r>
          </w:p>
        </w:tc>
        <w:tc>
          <w:tcPr>
            <w:tcW w:w="2820" w:type="dxa"/>
            <w:tcBorders>
              <w:top w:val="single" w:color="000000" w:sz="6" w:space="0"/>
              <w:left w:val="single" w:color="000000" w:sz="6" w:space="0"/>
              <w:bottom w:val="single" w:color="000000" w:sz="6" w:space="0"/>
              <w:right w:val="single" w:color="000000" w:sz="6" w:space="0"/>
            </w:tcBorders>
            <w:tcMar>
              <w:top w:w="0" w:type="dxa"/>
              <w:left w:w="86" w:type="dxa"/>
              <w:bottom w:w="0" w:type="dxa"/>
              <w:right w:w="86" w:type="dxa"/>
            </w:tcMar>
            <w:vAlign w:val="top"/>
          </w:tcPr>
          <w:p>
            <w:pPr>
              <w:widowControl w:val="false"/>
              <w:snapToGrid/>
              <w:spacing w:before="0" w:after="0" w:line="240" w:lineRule="auto"/>
              <w:rPr>
                <w:sz w:val="21"/>
                <w:szCs w:val="21"/>
              </w:rPr>
            </w:pPr>
          </w:p>
        </w:tc>
      </w:tr>
    </w:tbl>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37" w:name="_Toc3599"/>
      <w:r>
        <w:rPr>
          <w:rFonts w:hint="eastAsia" w:ascii="宋体" w:hAnsi="宋体" w:eastAsia="宋体" w:cs="宋体"/>
          <w:b/>
          <w:bCs/>
          <w:sz w:val="28"/>
          <w:szCs w:val="28"/>
          <w:lang w:val="en-US" w:eastAsia="zh-CN"/>
        </w:rPr>
        <w:t>2.5 项目商业模式</w:t>
      </w:r>
      <w:bookmarkEnd w:id="37"/>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2.5.1 商业可行性分析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拥有卓越的商业可行性。基于源网荷储一体化模式，根据项目周边半径20公里内单个用电需求较大的企业。依据企业确切的用电规模来铺设光伏发电装置，充分利用当地充沛的太阳能资源，为企业提供清洁电能。而储能利用峰谷电价差，在用电低谷时段，从国网购入低价电储存起来，此时段电价成本优势显著；待企业进入用电高峰，储能装置即时放电，满足企业激增的用电需求，有效平抑高峰用电压力，确保供电稳定不间断。相较于国网高峰电价，项目以更低价格向企业供电，为企业的生产经营成本减负，极大提升企业竞争力，企业自然乐于合作。项目借此稳定的供需关系保障收益，随着运营成熟，成本可控下降，盈利逐步上扬，商业前景一片光明，有望成为区域能源供应的创新典范。</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2.5.2 融资可行性分析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方面，国家层面大力推动能源结构调整与绿色发展，积极鼓励源网荷储一体化建设，为项目指明了方向并营造了宏观政策环境。河南省印发的《河南省加快推进源网荷储一体化实施方案》，明确了项目实施范围、重点任务及保障措施，给予项目清晰的指引和潜在的政策支持。同时，当地政府也可能会出台配套的补贴、税收优惠、专项基金等具体政策，如对新能源发电设施建设给予资金补贴，对项目运营过程中的税费进行减免，设立专门针对源网荷储项目的发展基金等，这些举措将直接降低项目的投资成本与运营风险，增强项目在金融市场的吸引力，使金融机构和投资者基于政策稳定性和优惠力度，更愿意为项目提供融资，提高项目的融资可得性与资金规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现金流方面，直供企业用电需求较大，构成了坚实的现金流基础。项目建成后，通过采用直供的方式向用电企业提供绿色电力输出，结合峰谷电价差利用储能设施套利，以及参与电力辅助服务市场获取收益等多元途径，能够产生稳定、可预测且持续增长的现金流。例如，在用电低谷期储存国网低价电能，在高峰期释放高价卖出，额外赚取差价收益；通过为电网提供调频、调压等辅助服务，获得服务费用。这些稳定的收入流为项目偿还融资贷款本息、维持日常运营以及实现盈利提供了可靠保障，向融资方展示了项目良好的财务可持续性和偿债能力，从而提升项目融资的成功率与融资额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需求供给方面，企业对电力的稳定、可靠、优质供应存在刚性需求，而源网荷储一体化项目能够精准匹配这一需求。项目利用清洁能源发电，结合智能电网调配和储能调节，实现电力的稳定生产与灵活供给，有效应对企业生产过程中的电力需求波动，确保电力供应的及时性与适配性。无论是生产高峰期的高电量需求，还是应对突发停电状况的应急供电，项目都能通过自身的源网荷储系统实现高效保障。这种紧密契合的供需关系，使得项目的电力销售具备高度的稳定性与市场竞争力，为融资提供了稳固的商业逻辑支撑，使投资者相信项目的盈利前景，进而愿意为项目建设与运营提供资金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市场拥有量方面，获嘉县乃至周边地区能源市场正处于快速发展与变革期，对清洁能源及源网荷储一体化项目的需求日益旺盛。随着区域经济发展、产业升级以及环保意识的增强，用电负荷持续攀升，清洁能源的市场接纳度不断提高。本项目不仅能够“一对一”的满足企业的用电需求，还具备向周边区域拓展市场的潜力，通过扩大电力销售范围和服务领域，增加发电设备，提高电量产出，进一步提升项目的收入水平与市场份额。广阔的市场前景预示着项目具备良好的盈利潜力与长期发展空间，在融资过程中能够向投资者充分展示项目的优势与价值，吸引包括银行贷款、产业投资基金、社会资本等多种渠道的资金流入，为项目的全方位发展提供充足的资金保障，有力推动项目落地实施并达成预期的经济、社会与环境效益，助力获嘉县产业集聚区实现绿色低碳转型与可持续发展。</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2.5.3 项目商业模式创新和综合开发情况分析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获嘉县产业集聚区创业孵化园有限公司在源网荷储项目中创新采用合同能源管理模式。获嘉县产业集聚区创业孵化园有限公司负责筹资建设光伏、储能等相关设施，与</w:t>
      </w:r>
      <w:r>
        <w:rPr>
          <w:rFonts w:hint="eastAsia" w:ascii="宋体" w:hAnsi="宋体" w:eastAsia="宋体" w:cs="宋体"/>
          <w:i w:val="false"/>
          <w:strike w:val="false"/>
          <w:color w:val="000000"/>
          <w:spacing w:val="0"/>
          <w:sz w:val="28"/>
          <w:u w:val="none"/>
          <w:vertAlign w:val="baseline"/>
        </w:rPr>
        <w:t>河南大成包装材料有限公司</w:t>
      </w:r>
      <w:r>
        <w:rPr>
          <w:rFonts w:ascii="宋体" w:hAnsi="宋体" w:eastAsia="宋体" w:cs="宋体"/>
          <w:i w:val="false"/>
          <w:strike w:val="false"/>
          <w:color w:val="000000"/>
          <w:spacing w:val="0"/>
          <w:sz w:val="28"/>
          <w:u w:val="none"/>
          <w:vertAlign w:val="baseline"/>
        </w:rPr>
        <w:t>签订合同，在合同期内，通过源网荷储模式为其提供电力。在运营过程中，公司精准监测和分析</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的用电数据，利用光伏发电和储能系统的协同运作，满足其用电需求并降低用电成本。</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在综合开发层面，项目综合开发采用</w:t>
      </w:r>
      <w:r>
        <w:rPr>
          <w:rFonts w:ascii="宋体" w:hAnsi="宋体" w:eastAsia="宋体" w:cs="宋体"/>
          <w:b/>
          <w:i w:val="false"/>
          <w:strike w:val="false"/>
          <w:color w:val="000000"/>
          <w:spacing w:val="0"/>
          <w:sz w:val="28"/>
          <w:u w:val="none"/>
          <w:vertAlign w:val="baseline"/>
        </w:rPr>
        <w:t>光伏+储能+光储充</w:t>
      </w:r>
      <w:r>
        <w:rPr>
          <w:rFonts w:hint="eastAsia" w:ascii="宋体" w:hAnsi="宋体" w:eastAsia="宋体" w:cs="宋体"/>
          <w:b/>
          <w:i w:val="false"/>
          <w:strike w:val="false"/>
          <w:color w:val="000000"/>
          <w:spacing w:val="0"/>
          <w:sz w:val="28"/>
          <w:u w:val="none"/>
          <w:vertAlign w:val="baseline"/>
        </w:rPr>
        <w:t>换电</w:t>
      </w:r>
      <w:r>
        <w:rPr>
          <w:rFonts w:ascii="宋体" w:hAnsi="宋体" w:eastAsia="宋体" w:cs="宋体"/>
          <w:b/>
          <w:i w:val="false"/>
          <w:strike w:val="false"/>
          <w:color w:val="000000"/>
          <w:spacing w:val="0"/>
          <w:sz w:val="28"/>
          <w:u w:val="none"/>
          <w:vertAlign w:val="baseline"/>
        </w:rPr>
        <w:t>相结合的方式</w:t>
      </w:r>
      <w:r>
        <w:rPr>
          <w:rFonts w:ascii="宋体" w:hAnsi="宋体" w:eastAsia="宋体" w:cs="宋体"/>
          <w:i w:val="false"/>
          <w:strike w:val="false"/>
          <w:color w:val="000000"/>
          <w:spacing w:val="0"/>
          <w:sz w:val="28"/>
          <w:u w:val="none"/>
          <w:vertAlign w:val="baseline"/>
        </w:rPr>
        <w:t>。以光伏发电为基础，将太阳能转化为电能，除直接供给</w:t>
      </w:r>
      <w:r>
        <w:rPr>
          <w:rFonts w:hint="eastAsia" w:ascii="宋体" w:hAnsi="宋体" w:eastAsia="宋体" w:cs="宋体"/>
          <w:i w:val="false"/>
          <w:strike w:val="false"/>
          <w:color w:val="000000"/>
          <w:spacing w:val="0"/>
          <w:sz w:val="28"/>
          <w:u w:val="none"/>
          <w:vertAlign w:val="baseline"/>
        </w:rPr>
        <w:t>大成包装企业</w:t>
      </w:r>
      <w:r>
        <w:rPr>
          <w:rFonts w:ascii="宋体" w:hAnsi="宋体" w:eastAsia="宋体" w:cs="宋体"/>
          <w:i w:val="false"/>
          <w:strike w:val="false"/>
          <w:color w:val="000000"/>
          <w:spacing w:val="0"/>
          <w:sz w:val="28"/>
          <w:u w:val="none"/>
          <w:vertAlign w:val="baseline"/>
        </w:rPr>
        <w:t>使用外，还为</w:t>
      </w:r>
      <w:r>
        <w:rPr>
          <w:rFonts w:hint="eastAsia" w:ascii="宋体" w:hAnsi="宋体" w:eastAsia="宋体" w:cs="宋体"/>
          <w:i w:val="false"/>
          <w:strike w:val="false"/>
          <w:color w:val="000000"/>
          <w:spacing w:val="0"/>
          <w:sz w:val="28"/>
          <w:u w:val="none"/>
          <w:vertAlign w:val="baseline"/>
        </w:rPr>
        <w:t>充电桩供电</w:t>
      </w:r>
      <w:r>
        <w:rPr>
          <w:rFonts w:ascii="宋体" w:hAnsi="宋体" w:eastAsia="宋体" w:cs="宋体"/>
          <w:i w:val="false"/>
          <w:strike w:val="false"/>
          <w:color w:val="000000"/>
          <w:spacing w:val="0"/>
          <w:sz w:val="28"/>
          <w:u w:val="none"/>
          <w:vertAlign w:val="baseline"/>
        </w:rPr>
        <w:t>。</w:t>
      </w:r>
      <w:r>
        <w:rPr>
          <w:rFonts w:hint="eastAsia" w:ascii="宋体" w:hAnsi="宋体" w:eastAsia="宋体" w:cs="宋体"/>
          <w:i w:val="false"/>
          <w:strike w:val="false"/>
          <w:color w:val="000000"/>
          <w:spacing w:val="0"/>
          <w:sz w:val="28"/>
          <w:u w:val="none"/>
          <w:vertAlign w:val="baseline"/>
        </w:rPr>
        <w:t>项目</w:t>
      </w:r>
      <w:r>
        <w:rPr>
          <w:rFonts w:ascii="宋体" w:hAnsi="宋体" w:eastAsia="宋体" w:cs="宋体"/>
          <w:i w:val="false"/>
          <w:strike w:val="false"/>
          <w:color w:val="000000"/>
          <w:spacing w:val="0"/>
          <w:sz w:val="28"/>
          <w:u w:val="none"/>
          <w:vertAlign w:val="baseline"/>
        </w:rPr>
        <w:t>储能系统发挥“削峰填谷”作用，在电力低谷时储存电能，在高峰时段释放电能，平抑电价波动，保障对</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的电力稳定供应，降低其用电成本。光储充电桩的设置则进一步拓展了项目的应用场景，一方面满足了</w:t>
      </w:r>
      <w:r>
        <w:rPr>
          <w:rFonts w:hint="eastAsia" w:ascii="宋体" w:hAnsi="宋体" w:eastAsia="宋体" w:cs="宋体"/>
          <w:i w:val="false"/>
          <w:strike w:val="false"/>
          <w:color w:val="000000"/>
          <w:spacing w:val="0"/>
          <w:sz w:val="28"/>
          <w:u w:val="none"/>
          <w:vertAlign w:val="baseline"/>
          <w:lang w:val="en-US" w:eastAsia="zh-CN"/>
        </w:rPr>
        <w:t>大成包装</w:t>
      </w:r>
      <w:r>
        <w:rPr>
          <w:rFonts w:ascii="宋体" w:hAnsi="宋体" w:eastAsia="宋体" w:cs="宋体"/>
          <w:i w:val="false"/>
          <w:strike w:val="false"/>
          <w:color w:val="000000"/>
          <w:spacing w:val="0"/>
          <w:sz w:val="28"/>
          <w:u w:val="none"/>
          <w:vertAlign w:val="baseline"/>
        </w:rPr>
        <w:t>内部及来访人员的新能源汽车充电需求，通过这种综合开发方式，形成了一个高效、循环的能源生态系统，不仅保障了企业的能源供应，还拓展了项目的盈利渠道，提升了项目整体的市场竞争力与可持续发展能力。</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2.5.4 招商策略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本项目的招商策略围绕绿色电力的销售与推广展开，旨在构建一个稳定且可持续发展的市场体系。我们凭借源网荷储一体化项目所生产的绿色电力，为企业提供清洁、稳定且价格合理的电力解决方案。通过与企业建立紧密的合作关系，深入了解其用电需求和负荷特性，制定个性化的电力供应套餐，不仅助力其降低用电成本，还能提升企业的绿色形象，增强其市场竞争力。在满足企业用电后，我们将目光投向周边企业，利用项目优越的地理位置和完善的电力输送网络，积极拓展外部市场。针对周边企业的用电特点和需求，开展精准营销，宣传绿色电力的优势和可靠性，通过合理的定价策略和优质的服务，吸引周边企业加入，从而提高电力的利用率和项目的整体收益。同时，我们将不断优化电力生产和供应流程，加强储能设施的管理与调配，确保在不同时段和用电需求下，都能为客户提供高质量的电力供应，逐步树立项目在绿色电力市场中的良好口碑和品牌形象，吸引更多企业参与到我们的绿色电力生态系统中，实现项目与客户的互利共赢和共同发展。</w:t>
      </w:r>
    </w:p>
    <w:p>
      <w:pPr>
        <w:snapToGrid w:val="false"/>
        <w:spacing w:before="0" w:after="0" w:line="240" w:lineRule="auto"/>
        <w:ind w:left="0" w:right="0"/>
        <w:jc w:val="left"/>
        <w:rPr/>
      </w:pP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38" w:name="_Toc15267"/>
      <w:bookmarkStart w:id="39" w:name="_Toc27047"/>
      <w:r>
        <w:rPr>
          <w:rFonts w:hint="eastAsia" w:ascii="宋体" w:hAnsi="宋体" w:eastAsia="宋体" w:cs="宋体"/>
          <w:b/>
          <w:bCs/>
          <w:sz w:val="36"/>
          <w:szCs w:val="36"/>
          <w:lang w:val="en-US" w:eastAsia="zh-CN"/>
        </w:rPr>
        <w:t>第三章 项目选址与要素保障</w:t>
      </w:r>
      <w:bookmarkEnd w:id="38"/>
      <w:bookmarkEnd w:id="39"/>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40" w:name="_Toc26467"/>
      <w:bookmarkStart w:id="41" w:name="_Toc12886"/>
      <w:r>
        <w:rPr>
          <w:rFonts w:hint="eastAsia" w:ascii="宋体" w:hAnsi="宋体" w:eastAsia="宋体" w:cs="宋体"/>
          <w:b/>
          <w:bCs/>
          <w:sz w:val="28"/>
          <w:szCs w:val="28"/>
          <w:lang w:val="en-US" w:eastAsia="zh-CN"/>
        </w:rPr>
        <w:t>3.1 项目地址</w:t>
      </w:r>
      <w:bookmarkEnd w:id="40"/>
      <w:bookmarkEnd w:id="41"/>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本项目地址位于新乡市获嘉县</w:t>
      </w:r>
      <w:r>
        <w:rPr>
          <w:rFonts w:ascii="宋体" w:hAnsi="宋体" w:eastAsia="宋体" w:cs="宋体"/>
          <w:i w:val="false"/>
          <w:strike w:val="false"/>
          <w:spacing w:val="0"/>
          <w:sz w:val="28"/>
          <w:u w:val="none"/>
        </w:rPr>
        <w:t>先进制造业开发区梧桐路与安王公路交叉口东南角</w:t>
      </w:r>
      <w:r>
        <w:rPr>
          <w:rFonts w:hint="eastAsia" w:ascii="宋体" w:hAnsi="宋体" w:eastAsia="宋体" w:cs="宋体"/>
          <w:snapToGrid/>
          <w:color w:val="auto"/>
          <w:spacing w:val="0"/>
          <w:w w:val="100"/>
          <w:kern w:val="2"/>
          <w:position w:val="0"/>
          <w:sz w:val="28"/>
          <w:szCs w:val="28"/>
          <w:lang w:val="en-US" w:eastAsia="zh-CN" w:bidi="zh-CN"/>
        </w:rPr>
        <w:t>。项目周边规划有完善的给排水、供电、通讯等配套基础设施，能够满足项目建设及运营期的需要。项目区处于产业园内，且产业园内基本实现了“水、电、路、通讯”四通一平，土地价值升值潜力大。项目区域远离光污染地带、周边500m范围内无强辐射，更无污水处理厂垃圾处理等恶臭场所，项目区地势平坦、阳光充足、自然条件良好，适宜本项目的开发建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42" w:name="_Toc7467"/>
      <w:bookmarkStart w:id="43" w:name="_Toc282"/>
      <w:r>
        <w:rPr>
          <w:rFonts w:hint="eastAsia" w:ascii="宋体" w:hAnsi="宋体" w:eastAsia="宋体" w:cs="宋体"/>
          <w:b/>
          <w:bCs/>
          <w:sz w:val="28"/>
          <w:szCs w:val="28"/>
          <w:lang w:val="en-US" w:eastAsia="zh-CN"/>
        </w:rPr>
        <w:t>3.2 项目建设条件</w:t>
      </w:r>
      <w:bookmarkEnd w:id="42"/>
      <w:bookmarkEnd w:id="43"/>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3.2.1 拟建项目所在区域的自然条件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1、地理位置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乡市地处中原腹地，河南省北部，地理坐标为东经113°23′～115°01′，北纬34°53′～35°50′，中心位于北纬35°18′，东经113°54′，南临黄河，与郑州市、开封市隔河相望；北依太行，与鹤壁市、安阳市毗邻；西连太极故里焦作市，与晋东南接壤；东接油城濮阳市与鲁西相连，总面积8249平方公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获嘉县位于河南省新乡市西部，东连新乡县，南接原阳县，西邻武陟县、修武县，北与辉县市隔大沙河相望。获嘉县总面积为473.15平方公里，人口约40万。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2、地形、地貌</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新乡市西部，北依太行山，南临黄河，地理位置优越，交通便利。县域面积为473平方公里，地势平坦，南北环山，内居平川，海拔在1356米，平均海拔357米左右，农业区平均海拔58790米左右。获嘉县的地形主要是平原，拥有丰富的农业资源，土壤肥沃，气候适宜，是重要的产粮区，同时也是国家优质粮食产业化开发示范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根据《建筑抗震设计规范》（GB50011-2010，2016年版），本工程所在地抗震设防基本烈度为小于6度区，场地抗震设防烈度为6度，设计基本加速度值为0.05g，设计地震分组为第一组。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北部，属于暖温带大陆性季风气候，其年均无霜期为221.2天，年均降雨量为557.2毫米。该县地处黄河、海河两大流域，境内有多条河流，包括大狮涝河、共产主义渠、大沙河、西孟姜女河、人民胜利渠和武嘉干渠，均由西南向东北流经获嘉县。此外，“南水北调”中线工程紧邻县境，引黄工程完善，因此水资源相对充沛，获嘉县的地下水埋藏较浅，主要由降水入渗和黄河侧渗补充，当前的埋深一般为4—5米。潜水以蒸发为主要排泄方式，水质优良，矿化度小于1克/升，水化学类型是HCO3—Na9K型。水源主要来自地下水、天然渠、文岩渠及地表径流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5、气象</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属于暖温带大陆性季风气候，四季分明，冬寒夏热，秋凉春早，历年平均气温14.6℃，年均无霜期约为221.2天，年均降雨量为557.2毫米，年均降雪日为14.1天，年均日照时数为2058.4小时。7月最热，平均27.3°C；1月最冷，平均0.2°C。从气候条件来看，获嘉县的气候条件有利于农业种植，同时也为居民提供了舒适的生活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6、地震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根据《建筑抗震设施规范》(GB50011-2001)划分，该区域为8度地震烈度区，设计基本地震加速度值为0.2g。</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7、工程地质评价及建议</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拟建项目区未发现诸如岩溶、滑坡、崩塌、塌陷、采空区、地面沉降、地裂等不良地质作用；也未发现影响地基稳定性的古河道、沟浜、孤石及其他人工地下设施等对工程有不利影响的埋藏物。拟建项目区域地层分布连续稳定，承载力高，工程地质条件较好，能够满足项目建设要求。</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3.2.2 交通运输条件</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位于河南省新乡市西部，地理位置优越，交通便利。境内有京广铁路、新焦铁路、菏宝高速贯通，是晋煤外运、南太行旅游的重要通道。南距郑州国际机场80公里、东距京港澳高速20公里，京广铁路、新焦铁路、菏宝高速贯通全境。</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3.2.3 公用工程条件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1、给水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本项目水源为市政自来水，项目区规划周边敷设有市政自来水管网，水量充足，能满足项目用水需要。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2、排水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本项目采用雨、污水分流排放。项目区规划周边敷设有市政雨、污水管网，污水经收集后排入化粪池，之后排入市政污水管网。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3、供电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区用电涉及二级负荷，为满足二级负荷供电要求，计划从市政的高压站引入二路10KV电源，具体接入点应有上级电力主管部门确定。由建设单位进一步落实，园区内基础设施已布置完成，周边可满足项目的高压电源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4、燃气</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本项目所需燃气引自市政燃气管网。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5、通信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城市通讯电缆由周边现有市政道路引入。</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3.2.4 施工条件及公共服务条件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1、建筑材料、设备与劳动力供应条件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的建设需要大量的建筑材料，例如钢材、水泥、沥青、碎石、砂、石灰以及各类市政管道等。这些材料在获嘉县供应非常丰富，通过正常的市场采购很容易得到满足。工程施工相关的机械设备均为通用设备，各专业工程均有成熟的施工工艺，相关劳动力的市场供应也非常充足。因此工程实施的物资供应条件比较充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2、燃料和动力供应条件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项目施工主要机械燃料分为汽油、柴油，以及新能源电力，本项目施工地点在县区周边，施工机械所需燃料在市区附近就能够得到补充。燃料及动力供应条件充足。</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44" w:name="_Toc28200"/>
      <w:bookmarkStart w:id="45" w:name="_Toc10443"/>
      <w:r>
        <w:rPr>
          <w:rFonts w:hint="eastAsia" w:ascii="宋体" w:hAnsi="宋体" w:eastAsia="宋体" w:cs="宋体"/>
          <w:b/>
          <w:bCs/>
          <w:sz w:val="28"/>
          <w:szCs w:val="28"/>
          <w:lang w:val="en-US" w:eastAsia="zh-CN"/>
        </w:rPr>
        <w:t>3.3 要素保障分析</w:t>
      </w:r>
      <w:bookmarkEnd w:id="44"/>
      <w:bookmarkEnd w:id="45"/>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3.3.1 土地要素保障和规划审批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ascii="宋体" w:hAnsi="宋体" w:eastAsia="宋体" w:cs="宋体"/>
          <w:i w:val="false"/>
          <w:strike w:val="false"/>
          <w:spacing w:val="0"/>
          <w:sz w:val="28"/>
          <w:u w:val="none"/>
        </w:rPr>
        <w:t>本项目将光伏及储能设备安装于已建设的土地上，充分利用现有土地资源，无需额外占用新土地，因此，在土地要素保障方面无需进行额外的审批流程</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3.3.2 资源环境要素保障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1、该项目所在地处于县区周边，市政生活用水保障充足。项目运营后所需水资源能够得到保障。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2、该项目建设涉及少量的施工粉尘，经过施工保护措施，可以基本消除对大气环境的影响。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3、该项目施工全部在既有建筑土地上进行，不涉及森林、草皮等植被破坏，生态承载能力及保障条件充分。</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4、该项目运营后由自身光伏供电及国网供电，当地电网供电充足，涉及碳排放强度和污染减排指标控制要求。</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3.3.3 保障指标分析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位于河南省新乡市获嘉县，项目所处区位交通良好，自然条件优越，区域内的供水、供电、通讯、原材料、人力等各项基础设施完善，为该项目的建设提供了充分保障，项目建于此有很大优势，便于项目的推广和运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color w:val="auto"/>
          <w:spacing w:val="0"/>
          <w:w w:val="100"/>
          <w:kern w:val="2"/>
          <w:position w:val="0"/>
          <w:sz w:val="28"/>
          <w:szCs w:val="28"/>
          <w:lang w:val="en-US" w:eastAsia="zh-CN" w:bidi="ar-SA"/>
        </w:rPr>
      </w:pPr>
      <w:r>
        <w:rPr>
          <w:rFonts w:hint="eastAsia" w:ascii="宋体" w:hAnsi="宋体" w:eastAsia="宋体" w:cs="宋体"/>
          <w:snapToGrid/>
          <w:color w:val="auto"/>
          <w:spacing w:val="0"/>
          <w:w w:val="100"/>
          <w:kern w:val="2"/>
          <w:position w:val="0"/>
          <w:sz w:val="28"/>
          <w:szCs w:val="28"/>
          <w:lang w:val="en-US" w:eastAsia="zh-CN" w:bidi="zh-CN"/>
        </w:rPr>
        <w:t>故综上所述，该项目的建设条件是可行的。</w:t>
      </w:r>
      <w:r>
        <w:rPr>
          <w:rFonts w:hint="eastAsia" w:ascii="宋体" w:hAnsi="宋体" w:eastAsia="宋体" w:cs="宋体"/>
          <w:color w:val="auto"/>
          <w:spacing w:val="0"/>
          <w:w w:val="100"/>
          <w:kern w:val="2"/>
          <w:position w:val="0"/>
          <w:sz w:val="28"/>
          <w:szCs w:val="28"/>
          <w:lang w:val="en-US" w:eastAsia="zh-CN" w:bidi="ar-SA"/>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46" w:name="_Toc3039"/>
      <w:bookmarkStart w:id="47" w:name="_Toc2672"/>
      <w:r>
        <w:rPr>
          <w:rFonts w:hint="eastAsia" w:ascii="宋体" w:hAnsi="宋体" w:eastAsia="宋体" w:cs="宋体"/>
          <w:b/>
          <w:bCs/>
          <w:sz w:val="36"/>
          <w:szCs w:val="36"/>
          <w:lang w:val="en-US" w:eastAsia="zh-CN"/>
        </w:rPr>
        <w:t>第四章 项目建设方案</w:t>
      </w:r>
      <w:bookmarkEnd w:id="46"/>
      <w:bookmarkEnd w:id="47"/>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48" w:name="_Toc2467"/>
      <w:bookmarkStart w:id="49" w:name="_Toc23882"/>
      <w:r>
        <w:rPr>
          <w:rFonts w:hint="eastAsia" w:ascii="宋体" w:hAnsi="宋体" w:eastAsia="宋体" w:cs="宋体"/>
          <w:b/>
          <w:bCs/>
          <w:sz w:val="28"/>
          <w:szCs w:val="28"/>
          <w:lang w:val="en-US" w:eastAsia="zh-CN"/>
        </w:rPr>
        <w:t>4.1 技术方案</w:t>
      </w:r>
      <w:bookmarkEnd w:id="48"/>
      <w:bookmarkEnd w:id="49"/>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ind w:left="0" w:right="0" w:firstLine="560" w:firstLineChars="200"/>
        <w:jc w:val="both"/>
        <w:textAlignment w:val="baseline"/>
        <w:rPr>
          <w:rFonts w:ascii="宋体" w:hAnsi="宋体" w:eastAsia="宋体" w:cs="宋体"/>
          <w:i w:val="false"/>
          <w:strike w:val="false"/>
          <w:color w:val="000000"/>
          <w:spacing w:val="0"/>
          <w:sz w:val="28"/>
          <w:u w:val="none"/>
          <w:vertAlign w:val="baseline"/>
        </w:rPr>
      </w:pPr>
      <w:r>
        <w:rPr>
          <w:rFonts w:ascii="宋体" w:hAnsi="宋体" w:eastAsia="宋体" w:cs="宋体"/>
          <w:i w:val="false"/>
          <w:strike w:val="false"/>
          <w:color w:val="000000"/>
          <w:spacing w:val="0"/>
          <w:sz w:val="28"/>
          <w:u w:val="none"/>
          <w:vertAlign w:val="baseline"/>
        </w:rPr>
        <w:t>本项目主要建设内</w:t>
      </w:r>
      <w:r>
        <w:rPr>
          <w:rFonts w:hint="eastAsia" w:ascii="宋体" w:hAnsi="宋体" w:eastAsia="宋体" w:cs="宋体"/>
          <w:i w:val="false"/>
          <w:strike w:val="false"/>
          <w:color w:val="000000"/>
          <w:spacing w:val="0"/>
          <w:sz w:val="28"/>
          <w:u w:val="none"/>
          <w:vertAlign w:val="baseline"/>
          <w:lang w:eastAsia="zh-CN"/>
        </w:rPr>
        <w:t>容为</w:t>
      </w:r>
      <w:r>
        <w:rPr>
          <w:rFonts w:ascii="宋体" w:hAnsi="宋体" w:eastAsia="宋体" w:cs="宋体"/>
          <w:i w:val="false"/>
          <w:strike w:val="false"/>
          <w:color w:val="000000"/>
          <w:spacing w:val="0"/>
          <w:sz w:val="28"/>
          <w:u w:val="none"/>
          <w:vertAlign w:val="baseline"/>
        </w:rPr>
        <w:t>分布式</w:t>
      </w:r>
      <w:r>
        <w:rPr>
          <w:rFonts w:hint="eastAsia" w:ascii="宋体" w:hAnsi="宋体" w:eastAsia="宋体" w:cs="宋体"/>
          <w:i w:val="false"/>
          <w:strike w:val="false"/>
          <w:color w:val="000000"/>
          <w:spacing w:val="0"/>
          <w:sz w:val="28"/>
          <w:u w:val="none"/>
          <w:vertAlign w:val="baseline"/>
          <w:lang w:val="en-US" w:eastAsia="zh-CN"/>
        </w:rPr>
        <w:t>光伏发电设备及储能设备</w:t>
      </w:r>
      <w:r>
        <w:rPr>
          <w:rFonts w:ascii="宋体" w:hAnsi="宋体" w:eastAsia="宋体" w:cs="宋体"/>
          <w:i w:val="false"/>
          <w:strike w:val="false"/>
          <w:color w:val="000000"/>
          <w:spacing w:val="0"/>
          <w:sz w:val="28"/>
          <w:u w:val="none"/>
          <w:vertAlign w:val="baseline"/>
        </w:rPr>
        <w:t>，项目不涉及生产方法、生产工艺技术。在建设方面，河南省具有</w:t>
      </w:r>
      <w:r>
        <w:rPr>
          <w:rFonts w:hint="eastAsia" w:ascii="宋体" w:hAnsi="宋体" w:eastAsia="宋体" w:cs="宋体"/>
          <w:i w:val="false"/>
          <w:strike w:val="false"/>
          <w:color w:val="000000"/>
          <w:spacing w:val="0"/>
          <w:sz w:val="28"/>
          <w:u w:val="none"/>
          <w:vertAlign w:val="baseline"/>
          <w:lang w:eastAsia="zh-CN"/>
        </w:rPr>
        <w:t>实力</w:t>
      </w:r>
      <w:r>
        <w:rPr>
          <w:rFonts w:ascii="宋体" w:hAnsi="宋体" w:eastAsia="宋体" w:cs="宋体"/>
          <w:i w:val="false"/>
          <w:strike w:val="false"/>
          <w:color w:val="000000"/>
          <w:spacing w:val="0"/>
          <w:sz w:val="28"/>
          <w:u w:val="none"/>
          <w:vertAlign w:val="baseline"/>
        </w:rPr>
        <w:t>且经验丰富的设计单位和施工单位众多，项目建设方面成熟的生产工艺，工艺成熟、可靠性强。</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4.1.1 技术方案的选用原则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在充分考虑经济条件和管理水平以及生产过程中人流、物流、信息流的合理顺畅，优先选用安全可靠、技术先进、工艺成熟、投资省、占地少、运行费用低、操作管理方便的工艺。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1、立足企业技术资源优势和企业整体优势。</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2、综合考虑企业的整体发展规划。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3、突出产品及技术优势，以安全环保为核心进行设计。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4、优先选择清洁工艺，注重节能节水环保。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5、符合国家的有关资源、产业政策。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6、先进技术与合理投资相结合，工艺的先进性与实际应用的可行性相结合。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对于项目生产技术方案的选用，遵循“技术上先进可行，经济上合理有利，综合利用资源”的进步原则，采用先进的集散型控制系统，由计算机统一控制整个生产线的各工艺参数，使产品质量稳定在高水平上，同时可降低物料的消耗。严格按行业规范要求组织生产经营活动，有效控制产品质量，为广大顾客提供优质的产品和良好的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8、在工艺设备的配置上，依据节能的原则，选用新型节能型设备，根据有利于环境保护的原则，优先选用环境保护型设备，满足该项目所制定的产品方案的要求。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9、根据该项目的产品方案，所选用的工艺流程能够满足该项目产品的要求，同时，加强员工技术培训，严格质量管理，严格按照工艺流程和技术要求进行操作，提高产品合格率。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10、遵循“高起点、优质量、专业化、经济规模”的建设原则。积极采用新技术、新工艺和高效率专用设备，使用高质量的原辅材料，稳定和提高产品质量，制造高附加值的产品，不断提高企业的市场竞争力。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11、项目建设贯彻“三同时”的原则，注重环境保护、职业安全卫生、消防及节能等各项措施的落实。</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50" w:name="_Toc12497"/>
      <w:bookmarkStart w:id="51" w:name="_Toc14225"/>
      <w:r>
        <w:rPr>
          <w:rFonts w:hint="eastAsia" w:ascii="宋体" w:hAnsi="宋体" w:eastAsia="宋体" w:cs="宋体"/>
          <w:b/>
          <w:bCs/>
          <w:sz w:val="28"/>
          <w:szCs w:val="28"/>
          <w:lang w:val="en-US" w:eastAsia="zh-CN"/>
        </w:rPr>
        <w:t>4.2 设备方案</w:t>
      </w:r>
      <w:bookmarkEnd w:id="50"/>
      <w:bookmarkEnd w:id="51"/>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4.2.1 设备配置原则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备方案选择依据使用功能确定，应该满足以下基本要求：主要设备方案与拟定建设规模相适应，以最大限度满足项目投产后生产要求；主要设备之间、主要设备与辅助设备之间的能力相互配套；设备质量、性能成熟，以保证生产的稳定性和产品质量；设备选择在保证性能前提下，力求经济合理；选用设备应符合国家和有关部门颁布的相关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为适应该项目生产需要，确保产品的质量，增强生产的可操作手段，必须完整配置各种技术装备，该项目设备应选择国内外现有的先进、成熟、可靠的设备，因此，在主设备选型上应遵循以下原则：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1、主要设备选型的原则应与选择的项目建设规模、产品方案相适应，满足项目的要求，可获得最大效益。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3、提高连续化、大型化程序，降低劳动强度，提高劳动生产率。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4、降低原材料、水、电单耗，满足环境保护要求。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5、强调设备的可靠性、成熟性，保证生产和质量稳定。不允许将不成熟或未经生产考验的设备用于建设方案设计。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6、符合政府或专门机构发布的技术标准要求。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7、在满足机械功能和生产过程的条件下，力求经济合理（含用料、制造、操作和维护保养），尽可能立足于国内市场。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8、主要设备及辅助设备之间应相互配套。</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4.2.2 设计方案与主要设备（含软件）的规格、数量和性能参数等</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firstLine="550"/>
        <w:textAlignment w:val="baseline"/>
        <w:rPr>
          <w:rFonts w:hint="eastAsia" w:ascii="宋体" w:hAnsi="宋体" w:eastAsia="宋体" w:cs="宋体"/>
          <w:color w:val="auto"/>
          <w:sz w:val="28"/>
          <w:szCs w:val="28"/>
        </w:rPr>
      </w:pPr>
      <w:r>
        <w:rPr>
          <w:rFonts w:hint="eastAsia" w:ascii="宋体" w:hAnsi="宋体" w:eastAsia="宋体" w:cs="宋体"/>
          <w:color w:val="auto"/>
          <w:sz w:val="28"/>
          <w:szCs w:val="28"/>
        </w:rPr>
        <w:t>1、光伏组件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光伏组件选型原则光伏组件是可以将光能转化为电能的设备，是光伏系统中的核心组成部分，它的优劣将直接影响到整套光伏系统的效率和运转，本项目使用的光伏组件均采用国内一线品牌A级组件。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采用隆基高效单晶N型640W组件；组件采用应用密排电池技术，组件效率提升至23.7%。应用多主栅（MBB）技术，能够缩短主栅上50%以上的电流传导距离，降低电池的内阻损失。主栅变细变窄减少遮光，有效受光面积更大。圆形焊带折射更多的光照，光学利用率更高。叠加使用切半电池技术，半片电池独特的电路设计可帮助电阻损耗降至全片组件的1/4，输出功率提升2%以上。切半设计降低组件发热量，更低的工作温度能够提升单瓦发电量。同时，切半组件特殊的并串结构，可减少组件纵向排布引发阴影遮挡导致的发电量损失。同时，MBB多主栅技术在高辐照地区具备更高的发电能力。</w:t>
      </w:r>
    </w:p>
    <w:p>
      <w:pPr>
        <w:ind w:firstLine="0" w:firstLineChars="0"/>
        <w:rPr/>
      </w:pPr>
      <w:r>
        <w:rPr/>
        <w:drawing>
          <wp:inline distT="0" distB="0" distL="0" distR="0">
            <wp:extent cx="5274310" cy="3992880"/>
            <wp:effectExtent l="0" t="0" r="0" b="0"/>
            <wp:docPr id="14" name="picture" descr="descript"/>
            <wp:cNvGraphicFramePr/>
            <a:graphic>
              <a:graphicData uri="http://schemas.openxmlformats.org/drawingml/2006/picture">
                <pic:pic>
                  <pic:nvPicPr>
                    <pic:cNvPr id="15" name="picture" descr="descript"/>
                    <pic:cNvPicPr/>
                  </pic:nvPicPr>
                  <pic:blipFill>
                    <a:blip r:embed="rId11"/>
                    <a:stretch>
                      <a:fillRect/>
                    </a:stretch>
                  </pic:blipFill>
                  <pic:spPr>
                    <a:xfrm>
                      <a:off x="0" y="0"/>
                      <a:ext cx="5274310" cy="3993514"/>
                    </a:xfrm>
                    <a:prstGeom prst="rect">
                      <a:avLst/>
                    </a:prstGeom>
                  </pic:spPr>
                </pic:pic>
              </a:graphicData>
            </a:graphic>
          </wp:inline>
        </w:drawing>
      </w:r>
    </w:p>
    <w:p>
      <w:pPr>
        <w:ind w:firstLine="0" w:firstLineChars="0"/>
        <w:rPr/>
      </w:pPr>
    </w:p>
    <w:p>
      <w:pPr>
        <w:ind w:firstLine="0" w:firstLineChars="0"/>
        <w:rPr/>
      </w:pPr>
      <w:r>
        <w:rPr/>
        <w:drawing>
          <wp:inline distT="0" distB="0" distL="0" distR="0">
            <wp:extent cx="5274310" cy="2757170"/>
            <wp:effectExtent l="0" t="0" r="0" b="0"/>
            <wp:docPr id="17" name="picture" descr="descript"/>
            <wp:cNvGraphicFramePr/>
            <a:graphic>
              <a:graphicData uri="http://schemas.openxmlformats.org/drawingml/2006/picture">
                <pic:pic>
                  <pic:nvPicPr>
                    <pic:cNvPr id="18" name="picture" descr="descript"/>
                    <pic:cNvPicPr/>
                  </pic:nvPicPr>
                  <pic:blipFill>
                    <a:blip r:embed="rId12"/>
                    <a:stretch>
                      <a:fillRect/>
                    </a:stretch>
                  </pic:blipFill>
                  <pic:spPr>
                    <a:xfrm>
                      <a:off x="0" y="0"/>
                      <a:ext cx="5274310" cy="2757539"/>
                    </a:xfrm>
                    <a:prstGeom prst="rect">
                      <a:avLst/>
                    </a:prstGeom>
                  </pic:spPr>
                </pic:pic>
              </a:graphicData>
            </a:graphic>
          </wp:inline>
        </w:drawing>
      </w:r>
    </w:p>
    <w:p>
      <w:pPr>
        <w:ind w:firstLine="0" w:firstLineChars="0"/>
        <w:rPr/>
      </w:pP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图4-1光伏组件参数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2、逆变器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光伏并网逆变器是将光伏组件输出的直流电转换为交流电，是光伏发电系统中的关键设备，对于提高光伏系统的效率和可靠性具有举足轻重的作用。光伏并网逆变器的选型主要应考虑以下几个问题：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性能可靠，效率高：光伏发电系统目前的发电成本较高，如果在发电过程中逆变器自身消耗能量过多或逆变失效，必然导致总发电量的损失和系统经济性下降，因此要求逆变器可靠、效率高，并能根据光伏组件当前的运行状况输出最大功率（MP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（2）要求直流输入电压有较宽的适应范围：由于太阳电池的端电压随负载和日照强度而变化，这就要求逆变电源必须在较大的直流输入电压范围内保证正常工作，并保证交流输出电压稳定。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（3）具有保护功能：并网逆变器还应具有交流过压、欠压保护，超频、欠频保护，高温保护，交流及直流的过流保护，直流过压保护，防孤岛保护等保护功能。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波形畸变小，功率因数高：当大型光伏发电系统并网运行时，为避免对公共电网的电力污染，要求逆变电源输出正弦波，电流波形必须与外电网一致，波形畸变小于5%，高次谐波含量小于3%，功率因数接近于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（5）监控和数据采集：逆变器应有多种通讯接口进行数据采集并发送到远控室，其控制器还应有模拟输入端口与外部传感器相连，以测量日照和温度等数据，便于整个电站数据处理分析。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3、换电储能系统设备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可插拔换电模组的YSY-96户用储能系统，具有储能电站和换电设施两种业态，将单一的储能场景由光储充转变为光储充换，提升储能的价值空间，利用换电给商业用户提高效率，创造出更多的利益价值构建出储能换电新业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67635" cy="3917315"/>
            <wp:effectExtent l="0" t="0" r="18415" b="6985"/>
            <wp:docPr id="20" name="图片 2"/>
            <wp:cNvGraphicFramePr>
              <a:graphicFrameLocks noChangeAspect="true"/>
            </wp:cNvGraphicFramePr>
            <a:graphic>
              <a:graphicData uri="http://schemas.openxmlformats.org/drawingml/2006/picture">
                <pic:pic>
                  <pic:nvPicPr>
                    <pic:cNvPr id="21" name="图片 2"/>
                    <pic:cNvPicPr>
                      <a:picLocks noChangeAspect="true"/>
                    </pic:cNvPicPr>
                  </pic:nvPicPr>
                  <pic:blipFill>
                    <a:blip r:embed="rId13"/>
                    <a:srcRect/>
                    <a:stretch>
                      <a:fillRect/>
                    </a:stretch>
                  </pic:blipFill>
                  <pic:spPr>
                    <a:xfrm>
                      <a:off x="0" y="0"/>
                      <a:ext cx="2667635" cy="391731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YSY-96户用储能系统参数表</w:t>
      </w:r>
    </w:p>
    <w:tbl>
      <w:tblPr>
        <w:tblStyle w:val="00001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输入功率</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3.6kW\220ac</w:t>
            </w:r>
          </w:p>
        </w:tc>
      </w:tr>
      <w:tr>
        <w:trPr>
          <w:trHeight w:val="465"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lang w:val="en-US" w:eastAsia="zh-CN"/>
              </w:rPr>
              <w:t>输出功率</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3.3kW\230ac</w:t>
            </w:r>
          </w:p>
        </w:tc>
      </w:tr>
      <w:tr>
        <w:trPr>
          <w:trHeight w:val="503"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系统总容量</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15kwh</w:t>
            </w:r>
          </w:p>
        </w:tc>
      </w:tr>
      <w:tr>
        <w:trPr>
          <w:trHeight w:val="48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可拔插电池</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i w:val="false"/>
                <w:iCs w:val="false"/>
                <w:snapToGrid w:val="false"/>
                <w:color w:val="000000"/>
                <w:kern w:val="0"/>
                <w:sz w:val="21"/>
                <w:szCs w:val="21"/>
                <w:u w:val="none"/>
                <w:lang w:val="en-US" w:eastAsia="zh-CN" w:bidi="ar"/>
              </w:rPr>
              <w:t>15pcs</w:t>
            </w:r>
          </w:p>
        </w:tc>
      </w:tr>
      <w:tr>
        <w:trPr>
          <w:trHeight w:val="48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600*600*1600mm</w:t>
            </w:r>
          </w:p>
        </w:tc>
      </w:tr>
      <w:tr>
        <w:trPr>
          <w:trHeight w:val="49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风冷</w:t>
            </w:r>
          </w:p>
        </w:tc>
      </w:tr>
      <w:tr>
        <w:trPr>
          <w:trHeight w:val="48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电池模块</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标准电池模块可热插拔</w:t>
            </w:r>
          </w:p>
        </w:tc>
      </w:tr>
      <w:tr>
        <w:trPr>
          <w:trHeight w:val="513"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通讯方式</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系统离网或并网可选，有线宽带\WIFI\BLE</w:t>
            </w:r>
          </w:p>
        </w:tc>
      </w:tr>
      <w:tr>
        <w:trPr>
          <w:trHeight w:val="484" w:hRule="atLeast"/>
          <w:jc w:val="center"/>
        </w:trPr>
        <w:tc>
          <w:tcPr>
            <w:tcW w:w="2490"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重量</w:t>
            </w:r>
          </w:p>
        </w:tc>
        <w:tc>
          <w:tcPr>
            <w:tcW w:w="4069"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258kg</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420" w:firstLineChars="20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2635885" cy="2318385"/>
            <wp:effectExtent l="0" t="0" r="12065" b="5715"/>
            <wp:docPr id="23" name="图片 3"/>
            <wp:cNvGraphicFramePr>
              <a:graphicFrameLocks noChangeAspect="true"/>
            </wp:cNvGraphicFramePr>
            <a:graphic>
              <a:graphicData uri="http://schemas.openxmlformats.org/drawingml/2006/picture">
                <pic:pic>
                  <pic:nvPicPr>
                    <pic:cNvPr id="24" name="图片 3"/>
                    <pic:cNvPicPr>
                      <a:picLocks noChangeAspect="true"/>
                    </pic:cNvPicPr>
                  </pic:nvPicPr>
                  <pic:blipFill>
                    <a:blip r:embed="rId14"/>
                    <a:srcRect/>
                    <a:stretch>
                      <a:fillRect/>
                    </a:stretch>
                  </pic:blipFill>
                  <pic:spPr>
                    <a:xfrm>
                      <a:off x="0" y="0"/>
                      <a:ext cx="2635885" cy="2318385"/>
                    </a:xfrm>
                    <a:prstGeom prst="rect">
                      <a:avLst/>
                    </a:prstGeom>
                    <a:noFill/>
                    <a:ln>
                      <a:noFill/>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标准锂电池模块参数表</w:t>
      </w:r>
    </w:p>
    <w:tbl>
      <w:tblPr>
        <w:tblStyle w:val="0000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0"/>
        <w:gridCol w:w="4069"/>
      </w:tblGrid>
      <w:tr>
        <w:trPr>
          <w:trHeight w:val="476" w:hRule="atLeast"/>
          <w:tblHeader/>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额定电压</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48 Vdc</w:t>
            </w:r>
          </w:p>
        </w:tc>
      </w:tr>
      <w:tr>
        <w:trPr>
          <w:trHeight w:val="465"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额定容量</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24 AH</w:t>
            </w:r>
          </w:p>
        </w:tc>
      </w:tr>
      <w:tr>
        <w:trPr>
          <w:trHeight w:val="503"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额定功率</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1kW</w:t>
            </w:r>
          </w:p>
        </w:tc>
      </w:tr>
      <w:tr>
        <w:trPr>
          <w:trHeight w:val="484"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输出电压范围</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58.1－39.2Vdc</w:t>
            </w:r>
          </w:p>
        </w:tc>
      </w:tr>
      <w:tr>
        <w:trPr>
          <w:trHeight w:val="484"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最大放电电流</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50A</w:t>
            </w:r>
          </w:p>
        </w:tc>
      </w:tr>
      <w:tr>
        <w:trPr>
          <w:trHeight w:val="494"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通讯方式</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BLE</w:t>
            </w:r>
          </w:p>
        </w:tc>
      </w:tr>
      <w:tr>
        <w:trPr>
          <w:trHeight w:val="484"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sz w:val="21"/>
                <w:szCs w:val="21"/>
              </w:rPr>
              <w:t>结构尺寸</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290*165*140 mm</w:t>
            </w:r>
          </w:p>
        </w:tc>
      </w:tr>
      <w:tr>
        <w:trPr>
          <w:trHeight w:val="484" w:hRule="atLeast"/>
          <w:jc w:val="center"/>
        </w:trPr>
        <w:tc>
          <w:tcPr>
            <w:tcW w:w="2490"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重量</w:t>
            </w:r>
          </w:p>
        </w:tc>
        <w:tc>
          <w:tcPr>
            <w:tcW w:w="4069" w:type="dxa"/>
            <w:tcBorders>
              <w:top w:val="single" w:color="000000" w:sz="2" w:space="0"/>
              <w:left w:val="single" w:color="000000" w:sz="2" w:space="0"/>
              <w:bottom w:val="single" w:color="000000" w:sz="2" w:space="0"/>
              <w:right w:val="single" w:color="000000" w:sz="2" w:space="0"/>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lang w:val="en-US"/>
              </w:rPr>
            </w:pPr>
            <w:r>
              <w:rPr>
                <w:rFonts w:hint="eastAsia" w:ascii="宋体" w:hAnsi="宋体" w:eastAsia="宋体" w:cs="宋体"/>
                <w:i w:val="false"/>
                <w:iCs w:val="false"/>
                <w:snapToGrid w:val="false"/>
                <w:color w:val="000000"/>
                <w:kern w:val="0"/>
                <w:sz w:val="21"/>
                <w:szCs w:val="21"/>
                <w:u w:val="none"/>
                <w:lang w:val="en-US" w:eastAsia="zh-CN" w:bidi="ar"/>
              </w:rPr>
              <w:t>8.5kg</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新获冷链储能换电站建设内容：以新乡国家骨干冷链枢纽仓为中心沿新获公路向东至人民西路，向西经县城同盟大道、健康路、行政大街、文圣路、中山路在县城东南西北中均匀分布建设站点，共计16个光、储、充、换站点。服务于冷链“最后一公里”配送（移动冷柜换电），两轮电动车与三轮电动车换电，以及电动汽车的快速充电业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4、充电桩选型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Chars="0"/>
        <w:jc w:val="center"/>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drawing>
          <wp:inline distT="0" distB="0" distL="114300" distR="114300">
            <wp:extent cx="3295650" cy="3209925"/>
            <wp:effectExtent l="0" t="0" r="0" b="9525"/>
            <wp:docPr id="26" name="图片 12" descr="1749272124640"/>
            <wp:cNvGraphicFramePr>
              <a:graphicFrameLocks noChangeAspect="true"/>
            </wp:cNvGraphicFramePr>
            <a:graphic>
              <a:graphicData uri="http://schemas.openxmlformats.org/drawingml/2006/picture">
                <pic:pic>
                  <pic:nvPicPr>
                    <pic:cNvPr id="27" name="图片 12" descr="1749272124640"/>
                    <pic:cNvPicPr>
                      <a:picLocks noChangeAspect="true"/>
                    </pic:cNvPicPr>
                  </pic:nvPicPr>
                  <pic:blipFill>
                    <a:blip r:embed="rId15"/>
                    <a:srcRect/>
                    <a:stretch>
                      <a:fillRect/>
                    </a:stretch>
                  </pic:blipFill>
                  <pic:spPr>
                    <a:xfrm>
                      <a:off x="0" y="0"/>
                      <a:ext cx="3295650" cy="3209925"/>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600kW充电桩样式图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600kW超充桩参数表</w:t>
      </w:r>
    </w:p>
    <w:tbl>
      <w:tblPr>
        <w:tblStyle w:val="00001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3048"/>
        <w:gridCol w:w="3511"/>
      </w:tblGrid>
      <w:tr>
        <w:trPr>
          <w:trHeight w:val="476" w:hRule="atLeast"/>
          <w:tblHeader/>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参数类别</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b/>
                <w:bCs/>
                <w:sz w:val="21"/>
                <w:szCs w:val="21"/>
              </w:rPr>
            </w:pPr>
            <w:r>
              <w:rPr>
                <w:rFonts w:hint="eastAsia" w:ascii="宋体" w:hAnsi="宋体" w:eastAsia="宋体" w:cs="宋体"/>
                <w:b/>
                <w:bCs/>
                <w:i w:val="false"/>
                <w:iCs w:val="false"/>
                <w:snapToGrid w:val="false"/>
                <w:color w:val="000000"/>
                <w:kern w:val="0"/>
                <w:sz w:val="21"/>
                <w:szCs w:val="21"/>
                <w:u w:val="none"/>
                <w:lang w:val="en-US" w:eastAsia="zh-CN" w:bidi="ar"/>
              </w:rPr>
              <w:t>参数值</w:t>
            </w:r>
          </w:p>
        </w:tc>
      </w:tr>
      <w:tr>
        <w:trPr>
          <w:trHeight w:val="523"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充电单元</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超充终端</w:t>
            </w:r>
          </w:p>
        </w:tc>
      </w:tr>
      <w:tr>
        <w:trPr>
          <w:trHeight w:val="465"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单枪最大功率（需车辆支持）</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600kW</w:t>
            </w:r>
          </w:p>
        </w:tc>
      </w:tr>
      <w:tr>
        <w:trPr>
          <w:trHeight w:val="503"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充电枪数量</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1</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枪线长度</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3.5m</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产品尺寸(W×D×H)</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500mm×280mm×1444mm</w:t>
            </w:r>
          </w:p>
        </w:tc>
      </w:tr>
      <w:tr>
        <w:trPr>
          <w:trHeight w:val="49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安装方式</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落地式</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冷却方式</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液冷</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输出电压</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200~1000V DC</w:t>
            </w:r>
          </w:p>
        </w:tc>
      </w:tr>
      <w:tr>
        <w:trPr>
          <w:trHeight w:val="513"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单枪最大电流</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600A</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工作温度</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-30~+55℃(55℃以上限功率输出)</w:t>
            </w:r>
          </w:p>
        </w:tc>
      </w:tr>
      <w:tr>
        <w:trPr>
          <w:trHeight w:val="49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存储温度</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-40~+75℃</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最高海拔高度</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≤2000m</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相对湿度</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5%～95%RH,无冷凝</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噪声</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≤60dB</w:t>
            </w:r>
          </w:p>
        </w:tc>
      </w:tr>
      <w:tr>
        <w:trPr>
          <w:trHeight w:val="523"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防护等级</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IP54</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认证和报告</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CNAS,CMA</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设计标准</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GB/T18487.1-2015、NB/T33001-2018、NB/T33008.1-2018、GB/T27930-2015、JJG1149-2022</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安全防护</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过压保护、短路保护、保护接地连续性检测、过温保护、急停保护、漏电保护、绝缘检测、开门保护、停电保护、接触器粘连保护、低液位告警</w:t>
            </w:r>
          </w:p>
        </w:tc>
      </w:tr>
      <w:tr>
        <w:trPr>
          <w:trHeight w:val="484"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启动方式</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扫码/刷卡/VIN（可选）</w:t>
            </w:r>
          </w:p>
        </w:tc>
      </w:tr>
      <w:tr>
        <w:trPr>
          <w:trHeight w:val="575"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显示方式</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4.3寸触摸屏（可选）</w:t>
            </w:r>
          </w:p>
        </w:tc>
      </w:tr>
      <w:tr>
        <w:trPr>
          <w:trHeight w:val="575"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网络连接</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以太网/4G/Wi-Fi</w:t>
            </w:r>
          </w:p>
        </w:tc>
      </w:tr>
      <w:tr>
        <w:trPr>
          <w:trHeight w:val="455"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终端/整流柜通讯协议</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CAN总线</w:t>
            </w:r>
          </w:p>
        </w:tc>
      </w:tr>
      <w:tr>
        <w:trPr>
          <w:trHeight w:val="503" w:hRule="atLeast"/>
          <w:jc w:val="center"/>
        </w:trPr>
        <w:tc>
          <w:tcPr>
            <w:tcW w:w="3048"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终端/平台通讯协议</w:t>
            </w:r>
          </w:p>
        </w:tc>
        <w:tc>
          <w:tcPr>
            <w:tcW w:w="3511" w:type="dxa"/>
            <w:tcBorders>
              <w:tl2br w:val="nil"/>
              <w:tr2bl w:val="nil"/>
            </w:tcBorders>
            <w:tcMar>
              <w:top w:w="0" w:type="dxa"/>
              <w:left w:w="108" w:type="dxa"/>
              <w:bottom w:w="0" w:type="dxa"/>
              <w:right w:w="108" w:type="dxa"/>
            </w:tcMar>
            <w:vAlign w:val="center"/>
          </w:tcPr>
          <w:p>
            <w:pPr>
              <w:keepNext w:val="false"/>
              <w:keepLines w:val="false"/>
              <w:widowControl/>
              <w:suppressLineNumbers w:val="false"/>
              <w:jc w:val="center"/>
              <w:textAlignment w:val="center"/>
              <w:rPr>
                <w:rFonts w:hint="eastAsia" w:ascii="宋体" w:hAnsi="宋体" w:eastAsia="宋体" w:cs="宋体"/>
                <w:sz w:val="21"/>
                <w:szCs w:val="21"/>
              </w:rPr>
            </w:pPr>
            <w:r>
              <w:rPr>
                <w:rFonts w:hint="eastAsia" w:ascii="宋体" w:hAnsi="宋体" w:eastAsia="宋体" w:cs="宋体"/>
                <w:i w:val="false"/>
                <w:iCs w:val="false"/>
                <w:snapToGrid w:val="false"/>
                <w:color w:val="000000"/>
                <w:kern w:val="0"/>
                <w:sz w:val="21"/>
                <w:szCs w:val="21"/>
                <w:u w:val="none"/>
                <w:lang w:val="en-US" w:eastAsia="zh-CN" w:bidi="ar"/>
              </w:rPr>
              <w:t>OCPP 1.6/OCPP 2.0.1</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超高功率输出：支持双枪同充与并充功能，双枪模式下最大输出功率可600KW，单枪最大输出电流达600A，满足大容量电池快速充电需求。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快速补电：针对工程机械、重卡等大容量电池，可在30分钟内实现快速补电，显著提升运营效率。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智能兼容：支持VIN码充电、预约充电，兼容云快充、蔚景云、特来电、小桔等主流运营平台，确保充电服务广泛覆盖。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柔性功率调配：可根据实际需求灵活调配功率，支持向下不同功率段定制，满足多样化充电场景。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液冷技术：配备7.5米液冷枪线，高效散热，确保设备在高功率下稳定运行。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严苛环境适应：通过国内型式试验及海外CE标准测试，支持-30℃至50℃宽温范围运行，极寒地区可适配加热单元，确保设备稳定使用。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多接口定制：支持国标、美标、欧标等多种充电接口定制，适配智能机械手自动插拔枪，实现无人自动充电。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高可靠性：经过严格的高低温冲击测试，确保设备在极端环境下稳定运行，满足全球市场需求。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5、充电桩适配性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600kW充电桩服务中大型车辆，为增加项目的适配性，项目准备布局充电桩丰富充电服务类型，具体按项目需求确定。</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4.2.3 光伏发电系统接入技术方案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在建筑屋顶采用光伏组件平铺安装形式。拟采用640Wp单晶N型光伏组件，尺寸2382*1134mm，共计可安装光伏组件约11168块，直流侧装机容量7.14752MWp，暂按容配比不超过1.2考虑，交流侧容量约5.956MW。</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项目交流侧容量小于6MW，故采用1个10kV接入点进行考虑，逆变器经升压箱变升压至10kV后，就近接入10kV电网，接入点距离项目地约2km。最终以电力公司审定的接入系统报告为准。接入电缆拟采用地埋方式。对于电缆型集电线路采用直埋敷设，暂采用铝合金三芯铠装电缆，主要原则是沿着道路敷设，便于敷设检修维护</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4.2.4 系统防雷接地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（1）太阳能光伏组件与金属屋面及建筑物主体避雷系统做可靠连接，能够有效地将入侵雷电导入大地。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（2）所有布置的线槽金属外壳与建筑物主体接地系作可靠接地连接，起到有效防雷和消减雷电影响。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（3）太阳能电池直流侧均采用防雷电涌保护器，起到防雷击保护作用。针对沿直流输入线侵入的感应雷在太阳电池方阵的汇线盒内进行一级防雷保护，安装防雷过电压浪涌保护器，起到保护光伏系统作用。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（4）逆变器交流输出侧逆变器具有防雷、过压、欠压、漏电等各种保护功能，起到防雷击保护作用；同时逆变器交流输出与外部公共电网并接，外部公共电网的防雷系统起到有效保护。</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4.2.5 光伏发电系统配置清单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规划光伏装机容量5956KW，光伏系统具体配置清单如下：</w:t>
      </w:r>
    </w:p>
    <w:tbl>
      <w:tblPr>
        <w:tblStyle w:val="000016"/>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93"/>
        <w:gridCol w:w="4747"/>
        <w:gridCol w:w="1473"/>
        <w:gridCol w:w="1492"/>
      </w:tblGrid>
      <w:tr>
        <w:trPr>
          <w:trHeight w:val="681" w:hRule="atLeast"/>
          <w:tblHeader/>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sz w:val="21"/>
                <w:szCs w:val="21"/>
              </w:rPr>
            </w:pPr>
            <w:r>
              <w:rPr>
                <w:rFonts w:hint="eastAsia" w:ascii="宋体" w:hAnsi="宋体" w:eastAsia="宋体" w:cs="宋体"/>
                <w:b/>
                <w:bCs/>
                <w:sz w:val="21"/>
                <w:szCs w:val="21"/>
              </w:rPr>
              <w:t>编号</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sz w:val="21"/>
                <w:szCs w:val="21"/>
              </w:rPr>
            </w:pPr>
            <w:r>
              <w:rPr>
                <w:rFonts w:hint="eastAsia" w:ascii="宋体" w:hAnsi="宋体" w:eastAsia="宋体" w:cs="宋体"/>
                <w:b/>
                <w:bCs/>
                <w:sz w:val="21"/>
                <w:szCs w:val="21"/>
              </w:rPr>
              <w:t>工程或名称</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sz w:val="21"/>
                <w:szCs w:val="21"/>
              </w:rPr>
            </w:pPr>
            <w:r>
              <w:rPr>
                <w:rFonts w:hint="eastAsia" w:ascii="宋体" w:hAnsi="宋体" w:eastAsia="宋体" w:cs="宋体"/>
                <w:b/>
                <w:bCs/>
                <w:sz w:val="21"/>
                <w:szCs w:val="21"/>
              </w:rPr>
              <w:t>单位</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b/>
                <w:bCs/>
                <w:sz w:val="21"/>
                <w:szCs w:val="21"/>
              </w:rPr>
            </w:pPr>
            <w:r>
              <w:rPr>
                <w:rFonts w:hint="eastAsia" w:ascii="宋体" w:hAnsi="宋体" w:eastAsia="宋体" w:cs="宋体"/>
                <w:b/>
                <w:bCs/>
                <w:sz w:val="21"/>
                <w:szCs w:val="21"/>
              </w:rPr>
              <w:t>数量</w:t>
            </w:r>
          </w:p>
        </w:tc>
      </w:tr>
      <w:tr>
        <w:trPr>
          <w:trHeight w:val="45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设备及安装工程</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（一）</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发电厂设备及安装工程</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一</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光伏组件</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单晶N型640Wp单晶N型双玻</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11168</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MC4连接器</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610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组串式逆变器100kW，1100V</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台</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30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组串式逆变器110kW，1100V</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台</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27</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逆变器安装支架</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57</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二</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接入部分</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10kV并网柜KYN28A-12</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面</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开关站一次舱出线、计量、PT、进线、SVG、站用变</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座</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开关站二次舱</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座</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SVG成套设备</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接入系统报告</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项</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直埋线缆</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km</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2</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三</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光伏专用升压</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变</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箱式变电站SCB14-1600kVA,Dy11，Uk=6%，10±2x2.5%/0.4kV,高压柜、低压柜、站用电源柜、不间断电源柜</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台</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3</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箱式变电站SCB14-1250kVA,Dy11，Uk=6%，10±2x2.5%/0.4kV,高压柜、低压柜、站用电源柜、不间断电源柜</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台</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四</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电缆、桥架及保护管</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光伏专用电缆PV1-F-1x4</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66850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0.4kV交流电力电缆</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ZC-YJV22-0.6/1kV-3x120+1x70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8950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10kV交流电力电缆</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ZC-YJLV22-8.7/15kV-3x240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2500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0.4kV交流电缆终端头户内</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104</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10kV交流电缆终端头户内，</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套</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4</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室外桥架400×200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350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室外桥架200×200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600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室外桥架100×100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2500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金属软管DN25</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750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金塑软管DN80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热镀锌钢管SC150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800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热镀锌钢管SC100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500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热镀锌钢管SC80</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400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电缆井</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个</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五</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防雷及接地</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水平接地体50×5mm热镀</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锌扁钢</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2233</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6</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垂直接地体L 50×50×5镀</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锌角钢</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根</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64</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接地线BVR-1×4mmm2</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1117</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接地线BVR-1×6mmm2</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1525</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接地线BVR-1×16mmm2</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米</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1720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六</w:t>
            </w: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防火封堵</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防火堵料LK-ZH-D</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kg</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300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防火涂料LK-ZH-T</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kg</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150</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磷酸铵盐干粉灭火器</w:t>
            </w:r>
          </w:p>
          <w:p>
            <w:pPr>
              <w:widowControl w:val="false"/>
              <w:jc w:val="center"/>
              <w:rPr>
                <w:rFonts w:hint="eastAsia" w:ascii="宋体" w:hAnsi="宋体" w:eastAsia="宋体" w:cs="宋体"/>
                <w:sz w:val="21"/>
                <w:szCs w:val="21"/>
              </w:rPr>
            </w:pPr>
            <w:r>
              <w:rPr>
                <w:rFonts w:hint="eastAsia" w:ascii="宋体" w:hAnsi="宋体" w:eastAsia="宋体" w:cs="宋体"/>
                <w:sz w:val="21"/>
                <w:szCs w:val="21"/>
              </w:rPr>
              <w:t>MF/ABC4</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具</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34</w:t>
            </w:r>
          </w:p>
        </w:tc>
      </w:tr>
      <w:tr>
        <w:trPr>
          <w:trHeight w:val="476" w:hRule="atLeast"/>
          <w:jc w:val="center"/>
        </w:trPr>
        <w:tc>
          <w:tcPr>
            <w:tcW w:w="79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p>
        </w:tc>
        <w:tc>
          <w:tcPr>
            <w:tcW w:w="4747"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消防灭火器箱</w:t>
            </w:r>
          </w:p>
        </w:tc>
        <w:tc>
          <w:tcPr>
            <w:tcW w:w="1473"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个</w:t>
            </w:r>
          </w:p>
        </w:tc>
        <w:tc>
          <w:tcPr>
            <w:tcW w:w="1492" w:type="dxa"/>
            <w:tcBorders>
              <w:tl2br w:val="nil"/>
              <w:tr2bl w:val="nil"/>
            </w:tcBorders>
            <w:tcMar>
              <w:top w:w="0" w:type="dxa"/>
              <w:left w:w="0" w:type="dxa"/>
              <w:bottom w:w="0" w:type="dxa"/>
              <w:right w:w="0" w:type="dxa"/>
            </w:tcMar>
            <w:vAlign w:val="center"/>
          </w:tcPr>
          <w:p>
            <w:pPr>
              <w:widowControl w:val="false"/>
              <w:jc w:val="center"/>
              <w:rPr>
                <w:rFonts w:hint="eastAsia" w:ascii="宋体" w:hAnsi="宋体" w:eastAsia="宋体" w:cs="宋体"/>
                <w:sz w:val="21"/>
                <w:szCs w:val="21"/>
              </w:rPr>
            </w:pPr>
            <w:r>
              <w:rPr>
                <w:rFonts w:hint="eastAsia" w:ascii="宋体" w:hAnsi="宋体" w:eastAsia="宋体" w:cs="宋体"/>
                <w:sz w:val="21"/>
                <w:szCs w:val="21"/>
              </w:rPr>
              <w:t>17</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leftChars="0" w:firstLine="0" w:firstLineChars="0"/>
        <w:textAlignment w:val="baseline"/>
        <w:rPr>
          <w:rFonts w:hint="eastAsia" w:ascii="宋体" w:hAnsi="宋体" w:eastAsia="宋体" w:cs="宋体"/>
          <w:b/>
          <w:bCs w:val="false"/>
          <w:i w:val="false"/>
          <w:iCs w:val="false"/>
          <w:caps w:val="false"/>
          <w:smallCaps w:val="false"/>
          <w:strike w:val="false"/>
          <w:dstrike w:val="false"/>
          <w:vanish w:val="false"/>
          <w:color w:val="auto"/>
          <w:spacing w:val="0"/>
          <w:kern w:val="0"/>
          <w:position w:val="0"/>
          <w:sz w:val="28"/>
          <w:szCs w:val="28"/>
          <w:u w:val="none"/>
          <w:vertAlign w:val="baseline"/>
          <w:lang w:val="en-US" w:eastAsia="zh-CN" w:bidi="ar-SA"/>
        </w:rPr>
      </w:pPr>
      <w:r>
        <w:rPr>
          <w:rFonts w:hint="eastAsia" w:ascii="宋体" w:hAnsi="宋体" w:eastAsia="宋体" w:cs="宋体"/>
          <w:b/>
          <w:bCs/>
          <w:sz w:val="28"/>
          <w:szCs w:val="28"/>
          <w:lang w:val="en-US" w:eastAsia="zh-CN"/>
        </w:rPr>
        <w:t>4.2.6 光伏支架设计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bookmarkStart w:id="52" w:name="OLE_LINK147"/>
      <w:r>
        <w:rPr>
          <w:rFonts w:hint="eastAsia" w:ascii="宋体" w:hAnsi="宋体" w:eastAsia="宋体" w:cs="宋体"/>
          <w:snapToGrid/>
          <w:color w:val="auto"/>
          <w:spacing w:val="0"/>
          <w:w w:val="100"/>
          <w:kern w:val="2"/>
          <w:position w:val="0"/>
          <w:sz w:val="28"/>
          <w:szCs w:val="28"/>
          <w:lang w:val="en-US" w:eastAsia="zh-CN" w:bidi="zh-CN"/>
        </w:rPr>
        <w:t>光伏导轨设计依据《光伏发电站设计规范》GB50797-2012进行设计，风荷载、雪荷载和温度荷载按现行国家标准《建筑结构荷载规范》GB50009中25年一遇的荷载数值取值。支架风荷载体形系数取1.3。屋面光伏电站不考虑地震作用，位移计算采用各荷载分项系数均应取为1.0；承载力计算时，荷载分项系数按下表采用。</w:t>
      </w:r>
    </w:p>
    <w:p>
      <w:pPr>
        <w:ind w:left="0" w:leftChars="0" w:firstLine="0" w:firstLineChars="0"/>
        <w:rPr/>
      </w:pPr>
      <w:r>
        <w:rPr/>
        <w:drawing>
          <wp:inline distT="0" distB="0" distL="0" distR="0">
            <wp:extent cx="5429250" cy="1562100"/>
            <wp:effectExtent l="0" t="0" r="11430" b="7620"/>
            <wp:docPr id="29" name="图片 17"/>
            <wp:cNvGraphicFramePr>
              <a:graphicFrameLocks noChangeAspect="true"/>
            </wp:cNvGraphicFramePr>
            <a:graphic>
              <a:graphicData uri="http://schemas.openxmlformats.org/drawingml/2006/picture">
                <pic:pic>
                  <pic:nvPicPr>
                    <pic:cNvPr id="30" name="图片 17"/>
                    <pic:cNvPicPr>
                      <a:picLocks noChangeAspect="true" noChangeArrowheads="true"/>
                    </pic:cNvPicPr>
                  </pic:nvPicPr>
                  <pic:blipFill>
                    <a:blip r:embed="rId16"/>
                    <a:srcRect/>
                    <a:stretch>
                      <a:fillRect/>
                    </a:stretch>
                  </pic:blipFill>
                  <pic:spPr>
                    <a:xfrm>
                      <a:off x="0" y="0"/>
                      <a:ext cx="5429250" cy="15621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计时采用25年一遇平均最大风速作为计算依据，确保支架系统安全、稳定。支架设计时考虑恒载0.5kN/㎡(组件不同，重量不同)，雪荷载0.52kN/㎡。支架受力设计的主要影响因素为风荷载，在各种荷载组合下，支架应满足规范对强度、刚度、稳定等各项指标要求。本工程设计风荷载取自当地气象资料中的多年最大风速换算风压与建筑结构荷载规范中地区基本风压的较大值。风速与风压关系式为Wk=S²/1600。</w:t>
      </w:r>
      <w:bookmarkEnd w:id="5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电池板组件支撑系统安装施工固定支架结构形式为：将导轨固定在彩钢瓦上，将组件通过压块固定在导轨上。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屋顶支架安装示意图如下所示：</w:t>
      </w:r>
    </w:p>
    <w:p>
      <w:pPr>
        <w:pStyle w:val="00000c"/>
        <w:ind w:left="0" w:leftChars="0" w:firstLine="0" w:firstLineChars="0"/>
        <w:jc w:val="center"/>
        <w:rPr/>
      </w:pPr>
      <w:r>
        <w:rPr>
          <w:kern w:val="0"/>
        </w:rPr>
        <w:drawing>
          <wp:inline distT="0" distB="0" distL="0" distR="0">
            <wp:extent cx="5457825" cy="2438400"/>
            <wp:effectExtent l="0" t="0" r="13335" b="0"/>
            <wp:docPr id="32" name="图片 38" descr="说明: F:\胡高志\其他\国强和新扬子\新扬子照片\新扬子项目施工照片\20141024IMG_20141024_143624.jpg"/>
            <wp:cNvGraphicFramePr>
              <a:graphicFrameLocks noChangeAspect="true"/>
            </wp:cNvGraphicFramePr>
            <a:graphic>
              <a:graphicData uri="http://schemas.openxmlformats.org/drawingml/2006/picture">
                <pic:pic>
                  <pic:nvPicPr>
                    <pic:cNvPr id="33" name="图片 38" descr="说明: F:\胡高志\其他\国强和新扬子\新扬子照片\新扬子项目施工照片\20141024IMG_20141024_143624.jpg"/>
                    <pic:cNvPicPr>
                      <a:picLocks noChangeAspect="true" noChangeArrowheads="true"/>
                    </pic:cNvPicPr>
                  </pic:nvPicPr>
                  <pic:blipFill>
                    <a:blip r:embed="rId17"/>
                    <a:srcRect t="7372"/>
                    <a:stretch>
                      <a:fillRect/>
                    </a:stretch>
                  </pic:blipFill>
                  <pic:spPr>
                    <a:xfrm>
                      <a:off x="0" y="0"/>
                      <a:ext cx="5457825" cy="2438400"/>
                    </a:xfrm>
                    <a:prstGeom prst="rect">
                      <a:avLst/>
                    </a:prstGeom>
                    <a:noFill/>
                    <a:ln w="9525" cmpd="sng">
                      <a:noFill/>
                      <a:miter lim="800000"/>
                      <a:headEnd/>
                      <a:tailEnd/>
                    </a:ln>
                    <a:effectLst/>
                  </pic:spPr>
                </pic:pic>
              </a:graphicData>
            </a:graphic>
          </wp:inline>
        </w:drawing>
      </w:r>
    </w:p>
    <w:p>
      <w:pPr>
        <w:autoSpaceDE w:val="false"/>
        <w:autoSpaceDN w:val="false"/>
        <w:adjustRightInd w:val="false"/>
        <w:ind w:left="0" w:leftChars="0" w:firstLine="0" w:firstLineChars="0"/>
        <w:jc w:val="center"/>
        <w:rPr>
          <w:kern w:val="0"/>
          <w:sz w:val="24"/>
          <w:szCs w:val="24"/>
        </w:rPr>
      </w:pPr>
      <w:r>
        <w:rPr>
          <w:rFonts w:hint="eastAsia"/>
          <w:kern w:val="0"/>
          <w:sz w:val="24"/>
          <w:szCs w:val="24"/>
        </w:rPr>
        <w:drawing>
          <wp:inline distT="0" distB="0" distL="0" distR="0">
            <wp:extent cx="5514975" cy="3429000"/>
            <wp:effectExtent l="0" t="0" r="1905" b="0"/>
            <wp:docPr id="35" name="图片 35" descr="3f955fae02b5dd92c794a23cec89e73"/>
            <wp:cNvGraphicFramePr>
              <a:graphicFrameLocks noChangeAspect="true"/>
            </wp:cNvGraphicFramePr>
            <a:graphic>
              <a:graphicData uri="http://schemas.openxmlformats.org/drawingml/2006/picture">
                <pic:pic>
                  <pic:nvPicPr>
                    <pic:cNvPr id="36" name="图片 35" descr="3f955fae02b5dd92c794a23cec89e73"/>
                    <pic:cNvPicPr>
                      <a:picLocks noChangeAspect="true" noChangeArrowheads="true"/>
                    </pic:cNvPicPr>
                  </pic:nvPicPr>
                  <pic:blipFill>
                    <a:blip r:embed="rId18" cstate="print"/>
                    <a:srcRect/>
                    <a:stretch>
                      <a:fillRect/>
                    </a:stretch>
                  </pic:blipFill>
                  <pic:spPr>
                    <a:xfrm>
                      <a:off x="0" y="0"/>
                      <a:ext cx="5514975" cy="3429000"/>
                    </a:xfrm>
                    <a:prstGeom prst="rect">
                      <a:avLst/>
                    </a:prstGeom>
                    <a:noFill/>
                    <a:ln w="9525" cmpd="sng">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以上是安装后的效果图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53" w:name="_Toc30608"/>
      <w:bookmarkStart w:id="54" w:name="_Toc10826"/>
      <w:bookmarkStart w:id="55" w:name="_Toc21934"/>
      <w:bookmarkStart w:id="56" w:name="_Toc16810"/>
      <w:r>
        <w:rPr>
          <w:rFonts w:hint="eastAsia" w:ascii="宋体" w:hAnsi="宋体" w:eastAsia="宋体" w:cs="宋体"/>
          <w:b/>
          <w:bCs/>
          <w:sz w:val="28"/>
          <w:szCs w:val="28"/>
          <w:lang w:val="en-US" w:eastAsia="zh-CN"/>
        </w:rPr>
        <w:t>4.3 储能系统配置方案</w:t>
      </w:r>
      <w:bookmarkEnd w:id="53"/>
      <w:bookmarkEnd w:id="54"/>
      <w:bookmarkEnd w:id="55"/>
      <w:bookmarkEnd w:id="56"/>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4.3.1 设计方案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规划在园区内设置变电站一座，项目总体容量为10MW/20MWh，由4个2.50MW/5.00MWh独立集装箱式储能单元构成。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同时配套提升园区绿化景观及增加充电桩工程。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储能方案采用CATL280AH磷酸铁锂储能电池，具有“能量密度高，循环寿命长，系统设计高度集成化”的出色储能效益，其系统内部集成储能电池、BMS、温控、消防和照明等子系统，并集成在一个40尺的标准预制舱中。</w:t>
      </w:r>
    </w:p>
    <w:p>
      <w:pPr>
        <w:ind w:left="0" w:leftChars="0" w:firstLine="0" w:firstLineChars="0"/>
        <w:jc w:val="center"/>
        <w:rPr>
          <w:rFonts w:ascii="宋体" w:hAnsi="宋体"/>
        </w:rPr>
      </w:pPr>
      <w:r>
        <w:rPr>
          <w:rFonts w:ascii="宋体" w:hAnsi="宋体"/>
        </w:rPr>
        <w:drawing>
          <wp:inline distT="0" distB="0" distL="0" distR="0">
            <wp:extent cx="5288280" cy="3667760"/>
            <wp:effectExtent l="0" t="0" r="0" b="5080"/>
            <wp:docPr id="38" name="图片 3" descr="C:\Users\Administrator\Documents\WeChat Files\wxid_6xj7tm83ftvi21\FileStorage\Temp\1684392748248.png"/>
            <wp:cNvGraphicFramePr>
              <a:graphicFrameLocks noChangeAspect="true"/>
            </wp:cNvGraphicFramePr>
            <a:graphic>
              <a:graphicData uri="http://schemas.openxmlformats.org/drawingml/2006/picture">
                <pic:pic>
                  <pic:nvPicPr>
                    <pic:cNvPr id="39" name="图片 3" descr="C:\Users\Administrator\Documents\WeChat Files\wxid_6xj7tm83ftvi21\FileStorage\Temp\1684392748248.png"/>
                    <pic:cNvPicPr>
                      <a:picLocks noChangeAspect="true" noChangeArrowheads="true"/>
                    </pic:cNvPicPr>
                  </pic:nvPicPr>
                  <pic:blipFill>
                    <a:blip r:embed="rId19" cstate="print"/>
                    <a:srcRect/>
                    <a:stretch>
                      <a:fillRect/>
                    </a:stretch>
                  </pic:blipFill>
                  <pic:spPr>
                    <a:xfrm>
                      <a:off x="0" y="0"/>
                      <a:ext cx="5288865" cy="3668233"/>
                    </a:xfrm>
                    <a:prstGeom prst="rect">
                      <a:avLst/>
                    </a:prstGeom>
                    <a:noFill/>
                    <a:ln w="9525">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4.3.2 电池集装箱组成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集装箱采用内维护方式，分为电池和PCS两个舱室放置，整个储能系统容量为5</w:t>
      </w:r>
      <w:r>
        <w:rPr>
          <w:rFonts w:ascii="宋体" w:hAnsi="宋体" w:eastAsia="宋体" w:cs="宋体"/>
          <w:i w:val="false"/>
          <w:strike w:val="false"/>
          <w:spacing w:val="0"/>
          <w:sz w:val="28"/>
          <w:u w:val="none"/>
        </w:rPr>
        <w:t>000KWH</w:t>
      </w:r>
      <w:r>
        <w:rPr>
          <w:rFonts w:hint="eastAsia" w:ascii="宋体" w:hAnsi="宋体" w:eastAsia="宋体" w:cs="宋体"/>
          <w:snapToGrid/>
          <w:color w:val="auto"/>
          <w:spacing w:val="0"/>
          <w:w w:val="100"/>
          <w:kern w:val="2"/>
          <w:position w:val="0"/>
          <w:sz w:val="28"/>
          <w:szCs w:val="28"/>
          <w:lang w:val="en-US" w:eastAsia="zh-CN" w:bidi="zh-CN"/>
        </w:rPr>
        <w:t>，共有4个电池簇单元，包含电池模组、高压控制盒、电池架、BMS及高低压连接线束等放置于集装箱内。其中，电池组采用模块化设计，每个电池组为1P16S。每个电池组配置一个电池管理单元（BMU），对单体电池的电压、温度等参数进行检测；每一个电池簇由15个电池模组串联组成，共1P240S，单个电池系统由10个电池簇并联组成，共10P240S。</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4.3.3 集装箱消防方案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箱内采取了一套手自动一体消防系统。该消防系统由火灾报警控制器/气体灭火控制盘、复合型气体探测器、声光报警器、警铃、放气指示灯、手动紧急启/停按钮、业务箱灭火装置（含灭火剂储存瓶、电磁驱动装置、压力信号器）、业务箱配套件（喷头、高压软管）、供电箱灭火装置（含灭火剂储存瓶、电磁驱动装置、压力信号器）组成。</w:t>
      </w:r>
    </w:p>
    <w:p>
      <w:pPr>
        <w:ind w:firstLine="550"/>
        <w:jc w:val="center"/>
        <w:rPr>
          <w:spacing w:val="-3"/>
        </w:rPr>
      </w:pPr>
      <w:r>
        <w:rPr>
          <w:spacing w:val="-3"/>
        </w:rPr>
        <w:drawing>
          <wp:inline distT="0" distB="0" distL="0" distR="0">
            <wp:extent cx="4086225" cy="5465445"/>
            <wp:effectExtent l="0" t="0" r="13335" b="5715"/>
            <wp:docPr id="41" name="图片 5" descr="C:\Users\Administrator\Documents\WeChat Files\wxid_6xj7tm83ftvi21\FileStorage\Temp\1684393210985.png"/>
            <wp:cNvGraphicFramePr>
              <a:graphicFrameLocks noChangeAspect="true"/>
            </wp:cNvGraphicFramePr>
            <a:graphic>
              <a:graphicData uri="http://schemas.openxmlformats.org/drawingml/2006/picture">
                <pic:pic>
                  <pic:nvPicPr>
                    <pic:cNvPr id="42" name="图片 5" descr="C:\Users\Administrator\Documents\WeChat Files\wxid_6xj7tm83ftvi21\FileStorage\Temp\1684393210985.png"/>
                    <pic:cNvPicPr>
                      <a:picLocks noChangeAspect="true" noChangeArrowheads="true"/>
                    </pic:cNvPicPr>
                  </pic:nvPicPr>
                  <pic:blipFill>
                    <a:blip r:embed="rId20" cstate="print"/>
                    <a:srcRect/>
                    <a:stretch>
                      <a:fillRect/>
                    </a:stretch>
                  </pic:blipFill>
                  <pic:spPr>
                    <a:xfrm>
                      <a:off x="0" y="0"/>
                      <a:ext cx="4088029" cy="5468402"/>
                    </a:xfrm>
                    <a:prstGeom prst="rect">
                      <a:avLst/>
                    </a:prstGeom>
                    <a:noFill/>
                    <a:ln w="9525">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4.3.4 BMS系统概述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电池管理系统主要由总控单元（三级架构）（BAU）、主控单元（BCU）、从控单元（BMU）以及相应的线束组成，系统具有功能覆盖广，体积小，抗干扰性能强，安全可靠等特点。</w:t>
      </w:r>
    </w:p>
    <w:p>
      <w:pPr>
        <w:ind w:firstLine="0" w:firstLineChars="0"/>
        <w:jc w:val="center"/>
        <w:rPr/>
      </w:pPr>
      <w:r>
        <w:rPr/>
        <w:drawing>
          <wp:inline distT="0" distB="0" distL="0" distR="0">
            <wp:extent cx="4413250" cy="2846705"/>
            <wp:effectExtent l="0" t="0" r="6350" b="3175"/>
            <wp:docPr id="44" name="图片 4" descr="C:\Users\Administrator\Documents\WeChat Files\wxid_6xj7tm83ftvi21\FileStorage\Temp\1684393137472.png"/>
            <wp:cNvGraphicFramePr>
              <a:graphicFrameLocks noChangeAspect="true"/>
            </wp:cNvGraphicFramePr>
            <a:graphic>
              <a:graphicData uri="http://schemas.openxmlformats.org/drawingml/2006/picture">
                <pic:pic>
                  <pic:nvPicPr>
                    <pic:cNvPr id="45" name="图片 4" descr="C:\Users\Administrator\Documents\WeChat Files\wxid_6xj7tm83ftvi21\FileStorage\Temp\1684393137472.png"/>
                    <pic:cNvPicPr>
                      <a:picLocks noChangeAspect="true" noChangeArrowheads="true"/>
                    </pic:cNvPicPr>
                  </pic:nvPicPr>
                  <pic:blipFill>
                    <a:blip r:embed="rId21"/>
                    <a:srcRect/>
                    <a:stretch>
                      <a:fillRect/>
                    </a:stretch>
                  </pic:blipFill>
                  <pic:spPr>
                    <a:xfrm>
                      <a:off x="0" y="0"/>
                      <a:ext cx="4436086" cy="2862026"/>
                    </a:xfrm>
                    <a:prstGeom prst="rect">
                      <a:avLst/>
                    </a:prstGeom>
                    <a:noFill/>
                    <a:ln w="9525">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4.3.5 EMS系统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能量管理系统是储能电站的重要组成部分，它为微电网调度控制中心提供数据管理、监视、控制和优化，保障储能系统的稳定高效运行。能量管理系统为储能系统内部每个能源控制器提供功率和电压设定点；确保满足系统中热负荷、电负荷需求；确保系统满足与主网系统之间的运行协议；尽可能使能源消耗与系统损耗最小；提供系统故障情况下孤岛运行与重合闸的逻辑与控制方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本储能系统中，EMS通讯拓扑分为三层结构：云监控、本地监控、协调控制；底层设备：1台500kW储能变流器、电池管理系统（BMS）、环境监测设备、消防系统、空调或门禁系统等均接入监控系统。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云监控：WEB展示、手机APP展示、报表数据分析、电池数据全景分析。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本地监控：本地展示、控制策略、自动逻辑、自动手动控制、历史数据报表、视频接入。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现场控制：通讯接入PCS、BMS、消防、空调控制，关键设备保护。</w:t>
      </w:r>
    </w:p>
    <w:p>
      <w:pPr>
        <w:ind w:left="0" w:leftChars="0" w:firstLine="0" w:firstLineChars="0"/>
        <w:jc w:val="center"/>
        <w:rPr/>
      </w:pPr>
      <w:r>
        <w:rPr/>
        <w:drawing>
          <wp:inline distT="0" distB="0" distL="0" distR="0">
            <wp:extent cx="4819650" cy="2595880"/>
            <wp:effectExtent l="0" t="0" r="11430" b="10160"/>
            <wp:docPr id="47" name="图片 6" descr="C:\Users\Administrator\Documents\WeChat Files\wxid_6xj7tm83ftvi21\FileStorage\Temp\1684393292552(1).png"/>
            <wp:cNvGraphicFramePr>
              <a:graphicFrameLocks noChangeAspect="true"/>
            </wp:cNvGraphicFramePr>
            <a:graphic>
              <a:graphicData uri="http://schemas.openxmlformats.org/drawingml/2006/picture">
                <pic:pic>
                  <pic:nvPicPr>
                    <pic:cNvPr id="48" name="图片 6" descr="C:\Users\Administrator\Documents\WeChat Files\wxid_6xj7tm83ftvi21\FileStorage\Temp\1684393292552(1).png"/>
                    <pic:cNvPicPr>
                      <a:picLocks noChangeAspect="true" noChangeArrowheads="true"/>
                    </pic:cNvPicPr>
                  </pic:nvPicPr>
                  <pic:blipFill>
                    <a:blip r:embed="rId22"/>
                    <a:srcRect r="6523"/>
                    <a:stretch>
                      <a:fillRect/>
                    </a:stretch>
                  </pic:blipFill>
                  <pic:spPr>
                    <a:xfrm>
                      <a:off x="0" y="0"/>
                      <a:ext cx="4839663" cy="2606898"/>
                    </a:xfrm>
                    <a:prstGeom prst="rect">
                      <a:avLst/>
                    </a:prstGeom>
                    <a:noFill/>
                    <a:ln w="9525">
                      <a:noFill/>
                      <a:miter lim="800000"/>
                      <a:headEnd/>
                      <a:tailEnd/>
                    </a:ln>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7" w:name="_Toc17748"/>
      <w:bookmarkStart w:id="58" w:name="_Toc20518"/>
      <w:r>
        <w:rPr>
          <w:rFonts w:hint="eastAsia" w:ascii="宋体" w:hAnsi="宋体" w:eastAsia="宋体" w:cs="宋体"/>
          <w:b/>
          <w:bCs/>
          <w:sz w:val="28"/>
          <w:szCs w:val="28"/>
          <w:lang w:val="en-US" w:eastAsia="zh-CN"/>
        </w:rPr>
        <w:t>4.3.6 光伏储能系统一次单线图</w:t>
      </w:r>
      <w:bookmarkEnd w:id="57"/>
      <w:bookmarkEnd w:id="58"/>
    </w:p>
    <w:p>
      <w:pPr>
        <w:ind w:firstLine="0" w:firstLineChars="0"/>
        <w:jc w:val="center"/>
        <w:rPr/>
      </w:pPr>
      <w:r>
        <w:rPr/>
        <w:drawing>
          <wp:inline distT="0" distB="0" distL="0" distR="0">
            <wp:extent cx="4828540" cy="2784475"/>
            <wp:effectExtent l="0" t="0" r="0" b="0"/>
            <wp:docPr id="50" name="picture" descr="descript"/>
            <wp:cNvGraphicFramePr/>
            <a:graphic>
              <a:graphicData uri="http://schemas.openxmlformats.org/drawingml/2006/picture">
                <pic:pic>
                  <pic:nvPicPr>
                    <pic:cNvPr id="51" name="picture" descr="descript"/>
                    <pic:cNvPicPr/>
                  </pic:nvPicPr>
                  <pic:blipFill>
                    <a:blip r:embed="rId23"/>
                    <a:srcRect l="5054" t="13681" r="3430" b="10842"/>
                    <a:stretch>
                      <a:fillRect/>
                    </a:stretch>
                  </pic:blipFill>
                  <pic:spPr>
                    <a:xfrm>
                      <a:off x="0" y="0"/>
                      <a:ext cx="4829154" cy="278498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bookmarkStart w:id="59" w:name="_Toc11139"/>
      <w:bookmarkStart w:id="60" w:name="_Toc25380"/>
      <w:r>
        <w:rPr>
          <w:rFonts w:hint="eastAsia" w:ascii="宋体" w:hAnsi="宋体" w:eastAsia="宋体" w:cs="宋体"/>
          <w:b/>
          <w:bCs/>
          <w:sz w:val="28"/>
          <w:szCs w:val="28"/>
          <w:lang w:val="en-US" w:eastAsia="zh-CN"/>
        </w:rPr>
        <w:t>4.3.7 电缆、导线的选型及敷设</w:t>
      </w:r>
      <w:bookmarkEnd w:id="59"/>
      <w:bookmarkEnd w:id="6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组串至逆变器的线缆采用PV-F-1x4，直流1000V光伏专用电缆，沿支架横梁敷设至桥架，无横梁的地方穿UPVC管敷设；当同一个逆变器的组串不在同一排时，前后排组串的线缆穿UPVC管至逆变器。逆变器至并网柜的电气线缆采用ZC-YJV22-1.6/3.3kV交联聚乙烯绝缘聚氯乙烯护套电力电缆经桥架敷设至地面后再直埋或穿管进入并网柜，并在进线处做好防火封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直流电缆、动力电缆与控制电缆之间应尽可能分开或分隔敷设。</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1" w:name="_Toc16259"/>
      <w:bookmarkStart w:id="62" w:name="_Toc25664"/>
      <w:r>
        <w:rPr>
          <w:rFonts w:hint="eastAsia" w:ascii="宋体" w:hAnsi="宋体" w:eastAsia="宋体" w:cs="宋体"/>
          <w:b/>
          <w:bCs/>
          <w:sz w:val="28"/>
          <w:szCs w:val="28"/>
          <w:lang w:val="en-US" w:eastAsia="zh-CN"/>
        </w:rPr>
        <w:t>4.4 建设管理方案</w:t>
      </w:r>
      <w:bookmarkEnd w:id="61"/>
      <w:bookmarkEnd w:id="62"/>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本项目在建设期间，由建设单位组建建设领导小组，有效地负责项目的组织、协调与管理，并负责控制项目建设的进度、质量和投资。项目指挥部下设办公室、工程管理部、物资供应部、计划财务部等职能部门。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4.4.2 项目管理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工程建设的顺利进行，由主管单位和建设单位成立本项目建设领导小组，切实加强对建设工程项目的领导，“领导小组”内各职能部门都能密切协调配合，做到目标、项目、资金、人员、责任、监督“六落实”并采取有力措施，层层签订责任状，确保项目的顺利实施，并收到预期效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整个项目建设要严格执行项目法人制、招投标制、质量监督管理制和工程合同制。要牢固树立“质量第一”的思想，严格把住各个环节的质量关，对项目的资金要做到专款专用，专户储存，封闭使用，严禁资金的挪用，确保项目资金的及时足额到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领导小组负责项目设计、施工和监理的招投标、协调计划落实和工程项目的监督管理、项目的监督检查、资金的落实，确保本项目按期顺利完成，其具体工作如下：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（1）实行招标投标制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对项目勘察设计、施工、监理以及与工程建设有关的设备、主要材料等的采购，面向社会进行公开招标，以达到提高工程质量，降低成本的目的。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（2）实行工程质量终身责任制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对项目建设工程质量负主要责任的领导、对参建单位的领导人和直接责任人，实行工程质量终身负责制度。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（3）实行工程监理制度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项目建设过程中，聘请有资质的监理单位和人员，对项目建设进行监理，抓好工程进度，提高工程质量，降低成本。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（4）严格按照基本建设程序办事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项目建设过程中，同级审计部门会同纪检监察部门应对建设项目随时进行审计和监督，本项目也应该接受计划、审计等部门和社会舆论的监督，建成后按照有关规定进行严格的竣工验收。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（5）严格项目资金管理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要强化项目区建设专项资金的管理，实行封闭运行的财务管理机制，将建设项目分户建卡，实行专账管理、专款专用，根据项目所需的设备、材料和人工费用按验收凭证经检查、验收后进入预算或结算程序，严禁挪用和挤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2、运营期管理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运营管理包括节能与节水管理、耗材管理、绿化管理、垃圾管理四方面内容：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（1）节能与节水管理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本项目需制定节能和节水管理模式，对厂区内所使用的资源如水、电等进行监控管理的措施，建立完善的节能和节水管理机制。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（2）耗材管理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管道的布置应方便维修、改造和更换；属于公共使用功能的设备、管道应设置在公共部位，以便日常维护和更换。建立耗材管理制度，主要包括建立建筑、设备、系统的维护制度，减少因维修带来的材料消耗，使用各类绿色建筑材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（3）绿化管理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对绿化用水进行计量，建立完善节水型灌溉系统。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（4）垃圾管理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在项目管理阶段制定一套垃圾管理制度，对生活垃圾进行分类收集，以便于相关垃圾处理单位改造利用。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4.4.3 实施进度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本项目可行性研究报告批准后，建设单位严格按照国家对建设工程的有关规定，积极开展工作。本项目实施主要包括以下五个部分：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1、前期工作：可研报告编制及批复、准备设计资料、土地征用及补偿等。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2、设计工作：建设场地勘察和工程设计等。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3、施工准备：落实协作关系及场地平整。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4、工程施工：进行总图及工程施工。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5、竣工验收：交工验收。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为加快建设进度，缩短建设工期，各阶段工作应尽量提前进行，允许有一定程度交叉。依据项目确定的规划设计方案，项目的建设工期拟定为0.5年。</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表4-4项目实施进度计划表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i w:val="false"/>
          <w:iCs w:val="false"/>
          <w:snapToGrid w:val="false"/>
          <w:color w:val="000000"/>
          <w:kern w:val="0"/>
          <w:sz w:val="21"/>
          <w:szCs w:val="21"/>
          <w:u w:val="none"/>
          <w:lang w:val="en-US" w:eastAsia="zh-CN" w:bidi="ar"/>
        </w:rPr>
        <w:drawing>
          <wp:inline distT="0" distB="0" distL="0" distR="0">
            <wp:extent cx="5274310" cy="2315210"/>
            <wp:effectExtent l="0" t="0" r="0" b="0"/>
            <wp:docPr id="53" name="picture" descr="descript"/>
            <wp:cNvGraphicFramePr/>
            <a:graphic>
              <a:graphicData uri="http://schemas.openxmlformats.org/drawingml/2006/picture">
                <pic:pic>
                  <pic:nvPicPr>
                    <pic:cNvPr id="54" name="picture" descr="descript"/>
                    <pic:cNvPicPr/>
                  </pic:nvPicPr>
                  <pic:blipFill>
                    <a:blip r:embed="rId24"/>
                    <a:stretch>
                      <a:fillRect/>
                    </a:stretch>
                  </pic:blipFill>
                  <pic:spPr>
                    <a:xfrm>
                      <a:off x="0" y="0"/>
                      <a:ext cx="5274310" cy="2315551"/>
                    </a:xfrm>
                    <a:prstGeom prst="rect">
                      <a:avLst/>
                    </a:prstGeom>
                  </pic:spPr>
                </pic:pic>
              </a:graphicData>
            </a:graphic>
          </wp:inline>
        </w:drawing>
      </w:r>
      <w:r>
        <w:rPr>
          <w:rFonts w:hint="eastAsia" w:ascii="宋体" w:hAnsi="宋体" w:eastAsia="宋体" w:cs="宋体"/>
          <w:b/>
          <w:bCs/>
          <w:sz w:val="28"/>
          <w:szCs w:val="28"/>
          <w:lang w:val="en-US" w:eastAsia="zh-CN"/>
        </w:rPr>
        <w:t>4.4.4 项目招投标</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4.4.4.1 招标原则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1、公开原则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开原则，即要求招标投标活动必须保证充分的透明度，招标投标程序、投标人的资格条件、评标标准和方法、评标和中标结果等信息要公开，保证每个投标人能够获得相同信息，公平参与投标竞争并依法维护自身的合法权益。同时招标投标活动的公开透明，也为当事人、行政和社会监督提供了条件。公开是公平、公正的基础和前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2、公平原则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平原则，即要求招标人在招标投标各程序环节中一视同仁地给予潜在投标人或者投标人平等竞争的机会，并使其享有同等的权利和义务。例如，招标人不得在资格预审文件和招标文件中含有倾向性内容或者以不合理的条件限制和排斥潜在投标人；不得对潜在投标人或者投标人采取不同的资格审查或者评标标准，依法必须进行招标的项目不得以特定行政区域或者特定行业的业绩、奖项作为评标加分条件或者中标条件等。公平原则主要体现在两个方面:一方面，机会均等，即潜在投标人具有均等的投标竞争机会；另一方面，各方权利义务平等，即招标人和所有投标人之间权利义务均衡并合理承担民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3、公正原则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公正原则，即要求招标人必须依法设定科学、合理和统一的程序、方法和标准，并严格据此接受和客观评审投标文件，真正择优确定中标人，不倾向、不歧视、不排斥，保证各投标人的合法平等权益。为此，招标投标法及其配套规定对招标、投标、开标、评标、中标、签订合同等作了相关规定，以保证招标投标的程序、方法、标准、权益及其实体结果的公正。例如，评标委员会必须按照招标文件事先确定并公开的评标标准和方法客观评审投标文件和推荐中标候选人，并明确否决投标的法定情形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4、诚实信用原则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诚实信用原则，即要求招标投标各方当事人在招标投标活动和履行合同中应当以守法、诚实、守信、善意的意识和态度行使权利和履行义务，不得故意隐瞒真相或者弄虚作假，不得串标、围标和恶意竞争，不能言而无信甚至背信弃义，在追求自己合法利益的同时不得损害他人的合法利益和社会利益，依法维护双方利益以及与社会利益的平衡。诚实信用是市场经济的基石和民事活动的基本原则。</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4.4.4.2 招标依据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《中华人民共和国建筑法》；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《中华人民共和国招标投标法》；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河南省招投标有关规定。</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4.4.4.4 招标条件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《工程建设项目施工招标投标办法》第八条中规定：依法必须招标的工程建设项目，应当具备下列条件才能进行施工招标：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1、招标人已经依法成立。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2、初步设计及概算应当履行审批手续的，已经批准。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3、有相应资金或资金来源已经落实。</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4、有招标所需的设计图纸及技术资料。</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4.4.4.5 招标程序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本项目招标活动具体程序如下：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（1）本项目按照国家有关规定先履行项目审批手续，取得批准后进行公开招标。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（2）招标人在国家指定媒体发布招标公告。公告应当载明招标人名称和地址，招标项目的性质、数量、实施地点和时间以及获取招标文件的办法等事项。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（3）本项目的招标文件应当包括招标项目的技术要求、对投标人资格审查的标准，投标报价要求和评标标准等所有实质性要求和条件以及拟签订合同的主要条款。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（4）组织潜在投标人踏勘项目现场。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（5）项目招标文件开始发出之日起至投标人提交投标文件截止之日，最短不得少于二十日。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2、项目投标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（1）本项目投标人应当具备承担招标项目的能力，并应按照招标文件的要求编制投标文件。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（2）投标文件的内容应当包括拟派出的项目负责人与主要技术人员的简历、业绩和拟用于完成招标项目的机械设备清单等。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（3）投标人应当在招标文件要求提交投标文件的截止时间前，将投标文件送达投标地点。投标人少于三个的，招标人应当依照本办法重新招标。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（4）投标人拟在中标后将中标项目的部分非主体、非关键性工作进行分包的，应当在投标文件中载明。</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（5）投标人不得相互串通投标报价，不得排挤其他投标人的公平竞争，不得损害招标人或其他投标人的合法权益。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（6）投标人不得以低于成本的报价投标，也不得以他人名义投标或者以其他方式弄虚作假、骗取中标。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3、开标、评标和中标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（1）开标由委托的招标代理机构主持，在招标文件确定的提交投标文件截止时间的同一时间及预先确定的地点，邀请所有投标人参加。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评标由招标人依法组建的评标委员会负责。评标委员会由五人以上单数组成，其中技术、经济等方面的专家不得少于成员总数的三分之二。专家应当是从事相关领域工作满八年并具有高级职称或具有同等专业水平，对工程项目有较深入的研究，并且职业道德良好，与投标单位无任何利害关系。评标委员会成员应当客观、公正地履行职务，遵守职业道德，对提出的评审意见承担个人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（3）中标人确定后，招标人向中标人发出中标通知书，该通知书具有法律效力，若中标人放弃中标项目，应当承担法律责任。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自中标通知书发出30日之内，按照招标文件和中标人的投标文件，招标人和中标人签订书面合同。中标人应当按照合同履行义务，完成中标项目。中标人不得向他人转包中标项目，也不得将中标项目肢解后分别向他人转包。</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4.4.4.6 招标方案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本项目所涉及的所有建设项目均按规定要求实施招标，委托有资质的招标单位组织实施，采用公开招标方式，实行合理低价中标的原则，杜绝一切漏洞，保证项目顺利进行，达到项目的最初预期和效益。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1、招标范围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本项目招标范围包括项目的勘察、设计、建安工程施工、设备采购、工程监理等。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2、招标组织形式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根据法律法规规定，本项目拟采取委托招标形式。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3、招标方式本项目的勘察设计、工程监理、建筑施工及安装工程、设备的采购拟采用的招标方式进行公开，择优选择勘察设计单位、建筑安装公司、工程监理公司和设备供货商。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具体招标方案如下所示：</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表4-5项目招投标一览表</w:t>
      </w:r>
    </w:p>
    <w:tbl>
      <w:tblPr>
        <w:tblStyle w:val="00000a"/>
        <w:tblW w:w="0" w:type="auto"/>
        <w:tblInd w:w="-79"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CellMar>
          <w:top w:w="0" w:type="dxa"/>
          <w:left w:w="0" w:type="dxa"/>
          <w:bottom w:w="0" w:type="dxa"/>
          <w:right w:w="0" w:type="dxa"/>
        </w:tblCellMar>
      </w:tblPr>
      <w:tblGrid>
        <w:gridCol w:w="1315"/>
        <w:gridCol w:w="900"/>
        <w:gridCol w:w="951"/>
        <w:gridCol w:w="886"/>
        <w:gridCol w:w="891"/>
        <w:gridCol w:w="889"/>
        <w:gridCol w:w="890"/>
        <w:gridCol w:w="1109"/>
        <w:gridCol w:w="886"/>
      </w:tblGrid>
      <w:tr>
        <w:trPr>
          <w:trHeight w:val="575" w:hRule="atLeast"/>
        </w:trPr>
        <w:tc>
          <w:tcPr>
            <w:tcW w:w="1315"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分项</w:t>
            </w:r>
          </w:p>
        </w:tc>
        <w:tc>
          <w:tcPr>
            <w:tcW w:w="1851"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招标范围</w:t>
            </w:r>
          </w:p>
        </w:tc>
        <w:tc>
          <w:tcPr>
            <w:tcW w:w="1777"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招标组织形式</w:t>
            </w:r>
          </w:p>
        </w:tc>
        <w:tc>
          <w:tcPr>
            <w:tcW w:w="1779" w:type="dxa"/>
            <w:gridSpan w:val="2"/>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招标方式</w:t>
            </w:r>
          </w:p>
        </w:tc>
        <w:tc>
          <w:tcPr>
            <w:tcW w:w="1109"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不采用招标方式</w:t>
            </w:r>
          </w:p>
        </w:tc>
        <w:tc>
          <w:tcPr>
            <w:tcW w:w="886" w:type="dxa"/>
            <w:vMerge w:val="restart"/>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投资概算</w:t>
            </w:r>
          </w:p>
          <w:p>
            <w:pPr>
              <w:jc w:val="center"/>
              <w:rPr>
                <w:rFonts w:hint="eastAsia" w:ascii="宋体" w:hAnsi="宋体" w:eastAsia="宋体" w:cs="宋体"/>
                <w:b/>
                <w:bCs/>
                <w:sz w:val="21"/>
                <w:szCs w:val="21"/>
              </w:rPr>
            </w:pPr>
            <w:r>
              <w:rPr>
                <w:rFonts w:hint="eastAsia" w:ascii="宋体" w:hAnsi="宋体" w:eastAsia="宋体" w:cs="宋体"/>
                <w:b/>
                <w:bCs/>
                <w:sz w:val="21"/>
                <w:szCs w:val="21"/>
              </w:rPr>
              <w:t>（万元）</w:t>
            </w:r>
          </w:p>
        </w:tc>
      </w:tr>
      <w:tr>
        <w:trPr>
          <w:trHeight w:val="610" w:hRule="atLeast"/>
        </w:trPr>
        <w:tc>
          <w:tcPr>
            <w:tcW w:w="1315" w:type="dxa"/>
            <w:vMerge w:val="continue"/>
            <w:tcBorders>
              <w:tl2br w:val="nil"/>
              <w:tr2bl w:val="nil"/>
            </w:tcBorders>
            <w:vAlign w:val="center"/>
          </w:tcPr>
          <w:p>
            <w:pPr>
              <w:jc w:val="center"/>
              <w:rPr>
                <w:rFonts w:hint="eastAsia" w:ascii="宋体" w:hAnsi="宋体" w:eastAsia="宋体" w:cs="宋体"/>
                <w:sz w:val="21"/>
                <w:szCs w:val="21"/>
              </w:rPr>
            </w:pPr>
          </w:p>
        </w:tc>
        <w:tc>
          <w:tcPr>
            <w:tcW w:w="90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全部招标</w:t>
            </w:r>
          </w:p>
        </w:tc>
        <w:tc>
          <w:tcPr>
            <w:tcW w:w="95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部分招标</w:t>
            </w:r>
          </w:p>
        </w:tc>
        <w:tc>
          <w:tcPr>
            <w:tcW w:w="886"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自行招标</w:t>
            </w:r>
          </w:p>
        </w:tc>
        <w:tc>
          <w:tcPr>
            <w:tcW w:w="891"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委托招标</w:t>
            </w:r>
          </w:p>
        </w:tc>
        <w:tc>
          <w:tcPr>
            <w:tcW w:w="889"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公开招标</w:t>
            </w:r>
          </w:p>
        </w:tc>
        <w:tc>
          <w:tcPr>
            <w:tcW w:w="890" w:type="dxa"/>
            <w:tcBorders>
              <w:tl2br w:val="nil"/>
              <w:tr2bl w:val="nil"/>
            </w:tcBorders>
            <w:vAlign w:val="center"/>
          </w:tcPr>
          <w:p>
            <w:pPr>
              <w:jc w:val="center"/>
              <w:rPr>
                <w:rFonts w:hint="eastAsia" w:ascii="宋体" w:hAnsi="宋体" w:eastAsia="宋体" w:cs="宋体"/>
                <w:b/>
                <w:bCs/>
                <w:sz w:val="21"/>
                <w:szCs w:val="21"/>
              </w:rPr>
            </w:pPr>
            <w:r>
              <w:rPr>
                <w:rFonts w:hint="eastAsia" w:ascii="宋体" w:hAnsi="宋体" w:eastAsia="宋体" w:cs="宋体"/>
                <w:b/>
                <w:bCs/>
                <w:sz w:val="21"/>
                <w:szCs w:val="21"/>
              </w:rPr>
              <w:t>邀请招标</w:t>
            </w:r>
          </w:p>
        </w:tc>
        <w:tc>
          <w:tcPr>
            <w:tcW w:w="1109" w:type="dxa"/>
            <w:vMerge w:val="continue"/>
            <w:tcBorders>
              <w:tl2br w:val="nil"/>
              <w:tr2bl w:val="nil"/>
            </w:tcBorders>
            <w:vAlign w:val="center"/>
          </w:tcPr>
          <w:p>
            <w:pPr>
              <w:jc w:val="center"/>
              <w:rPr>
                <w:rFonts w:hint="eastAsia" w:ascii="宋体" w:hAnsi="宋体" w:eastAsia="宋体" w:cs="宋体"/>
                <w:sz w:val="21"/>
                <w:szCs w:val="21"/>
              </w:rPr>
            </w:pPr>
          </w:p>
        </w:tc>
        <w:tc>
          <w:tcPr>
            <w:tcW w:w="886" w:type="dxa"/>
            <w:vMerge w:val="continue"/>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勘察</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设计</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施工</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工程监理</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重要购置及</w:t>
            </w:r>
          </w:p>
          <w:p>
            <w:pPr>
              <w:jc w:val="center"/>
              <w:rPr>
                <w:rFonts w:hint="eastAsia" w:ascii="宋体" w:hAnsi="宋体" w:eastAsia="宋体" w:cs="宋体"/>
                <w:sz w:val="21"/>
                <w:szCs w:val="21"/>
              </w:rPr>
            </w:pPr>
            <w:r>
              <w:rPr>
                <w:rFonts w:hint="eastAsia" w:ascii="宋体" w:hAnsi="宋体" w:eastAsia="宋体" w:cs="宋体"/>
                <w:sz w:val="21"/>
                <w:szCs w:val="21"/>
              </w:rPr>
              <w:t>材料</w:t>
            </w:r>
          </w:p>
        </w:tc>
        <w:tc>
          <w:tcPr>
            <w:tcW w:w="900"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r>
      <w:tr>
        <w:trPr>
          <w:trHeight w:val="760" w:hRule="atLeast"/>
        </w:trPr>
        <w:tc>
          <w:tcPr>
            <w:tcW w:w="1315"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其他</w:t>
            </w:r>
          </w:p>
        </w:tc>
        <w:tc>
          <w:tcPr>
            <w:tcW w:w="900" w:type="dxa"/>
            <w:tcBorders>
              <w:tl2br w:val="nil"/>
              <w:tr2bl w:val="nil"/>
            </w:tcBorders>
            <w:vAlign w:val="center"/>
          </w:tcPr>
          <w:p>
            <w:pPr>
              <w:jc w:val="center"/>
              <w:rPr>
                <w:rFonts w:hint="eastAsia" w:ascii="宋体" w:hAnsi="宋体" w:eastAsia="宋体" w:cs="宋体"/>
                <w:sz w:val="21"/>
                <w:szCs w:val="21"/>
              </w:rPr>
            </w:pPr>
          </w:p>
        </w:tc>
        <w:tc>
          <w:tcPr>
            <w:tcW w:w="951" w:type="dxa"/>
            <w:tcBorders>
              <w:tl2br w:val="nil"/>
              <w:tr2bl w:val="nil"/>
            </w:tcBorders>
            <w:vAlign w:val="center"/>
          </w:tcPr>
          <w:p>
            <w:pPr>
              <w:jc w:val="center"/>
              <w:rPr>
                <w:rFonts w:hint="eastAsia" w:ascii="宋体" w:hAnsi="宋体" w:eastAsia="宋体" w:cs="宋体"/>
                <w:sz w:val="21"/>
                <w:szCs w:val="21"/>
              </w:rPr>
            </w:pPr>
          </w:p>
        </w:tc>
        <w:tc>
          <w:tcPr>
            <w:tcW w:w="886" w:type="dxa"/>
            <w:tcBorders>
              <w:tl2br w:val="nil"/>
              <w:tr2bl w:val="nil"/>
            </w:tcBorders>
            <w:vAlign w:val="center"/>
          </w:tcPr>
          <w:p>
            <w:pPr>
              <w:jc w:val="center"/>
              <w:rPr>
                <w:rFonts w:hint="eastAsia" w:ascii="宋体" w:hAnsi="宋体" w:eastAsia="宋体" w:cs="宋体"/>
                <w:sz w:val="21"/>
                <w:szCs w:val="21"/>
              </w:rPr>
            </w:pPr>
          </w:p>
        </w:tc>
        <w:tc>
          <w:tcPr>
            <w:tcW w:w="891" w:type="dxa"/>
            <w:tcBorders>
              <w:tl2br w:val="nil"/>
              <w:tr2bl w:val="nil"/>
            </w:tcBorders>
            <w:vAlign w:val="center"/>
          </w:tcPr>
          <w:p>
            <w:pPr>
              <w:jc w:val="center"/>
              <w:rPr>
                <w:rFonts w:hint="eastAsia" w:ascii="宋体" w:hAnsi="宋体" w:eastAsia="宋体" w:cs="宋体"/>
                <w:sz w:val="21"/>
                <w:szCs w:val="21"/>
              </w:rPr>
            </w:pPr>
          </w:p>
        </w:tc>
        <w:tc>
          <w:tcPr>
            <w:tcW w:w="889" w:type="dxa"/>
            <w:tcBorders>
              <w:tl2br w:val="nil"/>
              <w:tr2bl w:val="nil"/>
            </w:tcBorders>
            <w:vAlign w:val="center"/>
          </w:tcPr>
          <w:p>
            <w:pPr>
              <w:jc w:val="center"/>
              <w:rPr>
                <w:rFonts w:hint="eastAsia" w:ascii="宋体" w:hAnsi="宋体" w:eastAsia="宋体" w:cs="宋体"/>
                <w:sz w:val="21"/>
                <w:szCs w:val="21"/>
              </w:rPr>
            </w:pPr>
          </w:p>
        </w:tc>
        <w:tc>
          <w:tcPr>
            <w:tcW w:w="890" w:type="dxa"/>
            <w:tcBorders>
              <w:tl2br w:val="nil"/>
              <w:tr2bl w:val="nil"/>
            </w:tcBorders>
            <w:vAlign w:val="center"/>
          </w:tcPr>
          <w:p>
            <w:pPr>
              <w:jc w:val="center"/>
              <w:rPr>
                <w:rFonts w:hint="eastAsia" w:ascii="宋体" w:hAnsi="宋体" w:eastAsia="宋体" w:cs="宋体"/>
                <w:sz w:val="21"/>
                <w:szCs w:val="21"/>
              </w:rPr>
            </w:pPr>
          </w:p>
        </w:tc>
        <w:tc>
          <w:tcPr>
            <w:tcW w:w="1109" w:type="dxa"/>
            <w:tcBorders>
              <w:tl2br w:val="nil"/>
              <w:tr2bl w:val="nil"/>
            </w:tcBorders>
            <w:vAlign w:val="center"/>
          </w:tcPr>
          <w:p>
            <w:pPr>
              <w:jc w:val="center"/>
              <w:rPr>
                <w:rFonts w:hint="eastAsia" w:ascii="宋体" w:hAnsi="宋体" w:eastAsia="宋体" w:cs="宋体"/>
                <w:sz w:val="21"/>
                <w:szCs w:val="21"/>
              </w:rPr>
            </w:pPr>
            <w:r>
              <w:rPr>
                <w:rFonts w:hint="eastAsia" w:ascii="宋体" w:hAnsi="宋体" w:eastAsia="宋体" w:cs="宋体"/>
                <w:sz w:val="21"/>
                <w:szCs w:val="21"/>
              </w:rPr>
              <w:t>√</w:t>
            </w:r>
          </w:p>
        </w:tc>
        <w:tc>
          <w:tcPr>
            <w:tcW w:w="886" w:type="dxa"/>
            <w:tcBorders>
              <w:tl2br w:val="nil"/>
              <w:tr2bl w:val="nil"/>
            </w:tcBorders>
            <w:vAlign w:val="center"/>
          </w:tcPr>
          <w:p>
            <w:pPr>
              <w:jc w:val="center"/>
              <w:rPr>
                <w:rFonts w:hint="eastAsia" w:ascii="宋体" w:hAnsi="宋体" w:eastAsia="宋体" w:cs="宋体"/>
                <w:sz w:val="21"/>
                <w:szCs w:val="21"/>
              </w:rPr>
            </w:pPr>
          </w:p>
        </w:tc>
      </w:tr>
    </w:tbl>
    <w:p>
      <w:pPr>
        <w:keepNext w:val="false"/>
        <w:keepLines w:val="false"/>
        <w:pageBreakBefore w:val="false"/>
        <w:widowControl w:val="false"/>
        <w:numPr>
          <w:ilvl w:val="0"/>
          <w:numId w:val="0"/>
        </w:numPr>
        <w:kinsoku/>
        <w:wordWrap/>
        <w:overflowPunct/>
        <w:topLinePunct w:val="false"/>
        <w:autoSpaceDE/>
        <w:autoSpaceDN/>
        <w:bidi w:val="false"/>
        <w:adjustRightInd/>
        <w:snapToGrid/>
        <w:spacing w:before="313" w:beforeLines="100" w:after="313" w:afterLines="100" w:line="360" w:lineRule="auto"/>
        <w:jc w:val="center"/>
        <w:textAlignment w:val="auto"/>
        <w:outlineLvl w:val="9"/>
        <w:rPr>
          <w:rFonts w:hint="eastAsia" w:ascii="宋体" w:hAnsi="宋体" w:eastAsia="宋体" w:cs="宋体"/>
          <w:b/>
          <w:bCs/>
          <w:spacing w:val="0"/>
          <w:w w:val="100"/>
          <w:position w:val="0"/>
          <w:sz w:val="36"/>
          <w:szCs w:val="36"/>
          <w:lang w:val="en-US" w:eastAsia="zh-CN"/>
        </w:rPr>
      </w:pPr>
      <w:bookmarkStart w:id="63" w:name="_Toc9558"/>
      <w:bookmarkStart w:id="64" w:name="_Toc16701"/>
      <w:r>
        <w:rPr>
          <w:rFonts w:hint="eastAsia" w:ascii="宋体" w:hAnsi="宋体" w:eastAsia="宋体" w:cs="宋体"/>
          <w:b/>
          <w:bCs/>
          <w:spacing w:val="0"/>
          <w:w w:val="100"/>
          <w:position w:val="0"/>
          <w:sz w:val="36"/>
          <w:szCs w:val="36"/>
          <w:lang w:val="en-US" w:eastAsia="zh-CN"/>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65" w:name="_Toc20189"/>
      <w:bookmarkStart w:id="66" w:name="_Toc22215"/>
      <w:r>
        <w:rPr>
          <w:rFonts w:hint="eastAsia" w:ascii="宋体" w:hAnsi="宋体" w:eastAsia="宋体" w:cs="宋体"/>
          <w:b/>
          <w:bCs/>
          <w:sz w:val="36"/>
          <w:szCs w:val="36"/>
          <w:lang w:val="en-US" w:eastAsia="zh-CN"/>
        </w:rPr>
        <w:t>第五章 项目运营方案</w:t>
      </w:r>
      <w:bookmarkEnd w:id="63"/>
      <w:bookmarkEnd w:id="64"/>
      <w:bookmarkEnd w:id="65"/>
      <w:bookmarkEnd w:id="66"/>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7" w:name="_Toc30709"/>
      <w:bookmarkStart w:id="68" w:name="_Toc22922"/>
      <w:r>
        <w:rPr>
          <w:rFonts w:hint="eastAsia" w:ascii="宋体" w:hAnsi="宋体" w:eastAsia="宋体" w:cs="宋体"/>
          <w:b/>
          <w:bCs/>
          <w:sz w:val="28"/>
          <w:szCs w:val="28"/>
          <w:lang w:val="en-US" w:eastAsia="zh-CN"/>
        </w:rPr>
        <w:t>5.1 运营方案</w:t>
      </w:r>
      <w:bookmarkEnd w:id="67"/>
      <w:bookmarkEnd w:id="68"/>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5.1.1 发展战略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发展战略聚焦于打造全方位、高品质、智能化的源网荷储一体化运营服务体系，以满足不断增长的能源需求和日益提升的客户期望。首先，在能源供应方面，持续优化电源结构，提高清洁能源发电效率和稳定性，确保电力的持续可靠输出；同时，强化电网的智能化运维管理，运用先进的监测技术和数据分析手段，实时掌握电网运行状态，快速响应并解决故障问题，保障电力传输的安全高效。其次，针对用户侧，提供个性化的能源服务方案，深入了解不同用户的用电特性和需求，通过智能电表、控制系统等技术手段，帮助用户实现精细化的能源管理，如制定合理的用电计划、参与需求侧响应等，从而降低用户用电成本，提升能源使用效率。再者，充分发挥储能系统的调节作用，不仅在平抑电力波动、保障电能质量方面发挥关键效能，还积极参与电力辅助服务市场，挖掘储能的多重价值。此外，注重人才培养和技术创新，打造一支专业的运营服务团队，持续引进和研发先进的源网荷储技术，不断提升项目的运营管理水平和市场竞争力，以长期稳定的优质服务赢得客户信赖，树立行业标杆形象，推动项目在源网荷储领域的可持续发展，为能源转型和绿色发展贡献力量。</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5.1.2 项目运营服务</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1、发展方向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运营服务将朝着智能化、高效化、定制化方向发展。在智能化上，引入先进的物联网、大数据与人工智能技术，对源网荷储各环节进行实时监测与精准调控，实现设备的智能运维和故障的自动诊断修复，提升系统整体运行效率与可靠性；高效化方面，通过优化能源调度策略，减少传输损耗，充分发挥储能的调峰填谷作用，确保能源在不同时段的合理分配与高效利用，降低运营成本；定制化则专注于满足不同用户的多样化需求，依据用户的用电习惯、生产特性等，为其量身打造能源管理方案，提供节能建议与技术支持，提升用户的能源使用效益与满意度，增强项目在市场中的竞争力，推动源网荷储一体化运营服务向更高水平迈进，更好地适应能源发展新趋势。</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5.1.3 维护维修方案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1、设备维护方案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（1）定期检查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建立定期检查机制，对生产设备进行定期的检查和维护，发现设备的问题及时处理，减少生产故障的发生。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（2）维护记录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建立设备维护记录系统，记录每台设备的维护情况，便于日后的跟踪和管理。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（3）设备保养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定期对设备进行保养，及时更换磨损部件，加油加润，确保设备的正常运行。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（4）人员培训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对维护人员进行培训，提高其技能和知识水平，使其能够更好地进行设备维护和保养工作。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2、设备维修方案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（1）技术支持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建立技术支持渠道，与设备生产厂家建立联系，及时获取技术支持和解决方案，保证设备的正常运行。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（2）维修团队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建立专业的维修团队，由资深维修人员组成，能够及时、有效地解决设备故障。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（3）维修备件库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建立维修备件库，存放常用的维修备件，便于快速更换，加快修复设备的速度。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（4）原因分析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对设备故障进行原因分析，找出故障的根本原因，从而采取有针对性的措施，防止故障再次发生。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建立科学的设备维护维修方案，通过人工监控和自动化工具，及时发现和解决可能存在的问题，确保设备的正常运行。同时，建立完善的管理和监督体系，确保方案实施的效果。</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5.1.4 运营服务方案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本项目运营服务方案将围绕源网荷储一体化系统，构建全方位、精细化、智能化的服务体系，确保项目安全、稳定、高效运行，实现能源的优化配置和客户价值的最大化。</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default" w:ascii="宋体" w:hAnsi="宋体" w:eastAsia="宋体" w:cs="宋体"/>
          <w:snapToGrid/>
          <w:color w:val="auto"/>
          <w:spacing w:val="0"/>
          <w:w w:val="100"/>
          <w:kern w:val="2"/>
          <w:position w:val="0"/>
          <w:sz w:val="28"/>
          <w:szCs w:val="28"/>
          <w:lang w:val="en-US" w:eastAsia="zh-CN" w:bidi="zh-CN"/>
        </w:rPr>
      </w:pPr>
      <w:r>
        <w:rPr>
          <w:rFonts w:hint="default" w:ascii="宋体" w:hAnsi="宋体" w:eastAsia="宋体" w:cs="宋体"/>
          <w:snapToGrid/>
          <w:color w:val="auto"/>
          <w:spacing w:val="0"/>
          <w:w w:val="100"/>
          <w:kern w:val="2"/>
          <w:position w:val="0"/>
          <w:sz w:val="28"/>
          <w:szCs w:val="28"/>
          <w:lang w:val="en-US" w:eastAsia="zh-CN" w:bidi="zh-CN"/>
        </w:rPr>
        <w:t>在能源供应环节，我们将对各类电源进行科学管理与维护，包括对分布式光伏、风电以及传统火电（若有）等发电设备的日常巡检、预防性维护和故障抢修，确保发电效率和电能质量，根据天气和负荷变化灵活调整发电策略，优先保障清洁能源的充分利用。电网运营方面，通过安装智能监控系统，实时掌握电网的潮流分布、电压稳定性等关键指标，及时发现并解决潜在的安全隐患，利用先进的电力通信技术实现电网的自动化调度和快速故障隔离，保障电力传输的可靠性和连续性。负荷管理上，为用户提供智能电表和能源管理终端，帮助用户实时了解用电情况，根据用户的生产计划和用电需求，制定个性化的用电方案，引导用户错峰用电，积极参与需求侧响应项目，从而降低用户的用电成本，提高能源利用效率。储能系统运营中，将根据电网的负荷特性和电价波动，合理安排储能的充放电时间，在用电低谷期储存电能，在高峰时段释放，起到削峰填谷的作用，同时参与电网的调频、调压等辅助服务，提升电网的稳定性和电能质量。此外，我们还将建立专业的客户服务团队，24小时响应客户的咨询、投诉和技术支持需求，定期为客户提供能源使用报告和节能建议，通过持续优化运营服务流程和技术创新，不断提升项目的运营效益和客户满意度，为项目的长期可持续发展奠定坚实基础，在源网荷储一体化领域树立良好的服务典范，推动能源行业的绿色、高效发展。</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69" w:name="_Toc27306"/>
      <w:bookmarkStart w:id="70" w:name="_Toc18094"/>
      <w:r>
        <w:rPr>
          <w:rFonts w:hint="eastAsia" w:ascii="宋体" w:hAnsi="宋体" w:eastAsia="宋体" w:cs="宋体"/>
          <w:b/>
          <w:bCs/>
          <w:sz w:val="28"/>
          <w:szCs w:val="28"/>
          <w:lang w:val="en-US" w:eastAsia="zh-CN"/>
        </w:rPr>
        <w:t>5.2 安全保障方案</w:t>
      </w:r>
      <w:bookmarkEnd w:id="69"/>
      <w:bookmarkEnd w:id="70"/>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1" w:name="_Toc2460"/>
      <w:r>
        <w:rPr>
          <w:rFonts w:hint="eastAsia" w:ascii="宋体" w:hAnsi="宋体" w:eastAsia="宋体" w:cs="宋体"/>
          <w:b/>
          <w:bCs/>
          <w:sz w:val="28"/>
          <w:szCs w:val="28"/>
        </w:rPr>
        <w:t>5.2.1 运营中危险因素及危险程度</w:t>
      </w:r>
      <w:bookmarkEnd w:id="7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新能源发电设备故障风险：太阳能光伏板可能出现热斑效应、组件老化损坏，风力发电机可能存在叶片断裂、齿轮箱故障等问题。这些故障一旦发生，不仅会导致发电中断，影响电力供应稳定性，还可能因设备部件掉落引发人员伤亡和财产损失。危险程度较高，尤其是在恶劣天气条件下或设备维护不及时的情况下，发生故障的概率会显著增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电网波动与短路风险：由于分布式能源的接入以及负荷的动态变化，电网可能出现电压波动、频率异常甚至短路故障。这会影响电力传输质量，对用电设备造成损坏，严重时可能引发火灾，威胁整个项目区域的安全。其危险程度取决于电网保护装置的可靠性和故障排查处理的及时性，若保护机制失效，危险程度将急剧上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储能系统安全风险：电化学储能装置如锂离子电池存在热失控、电解液泄漏、过充过放等安全隐患。热失控可能引发火灾甚至爆炸，危及周边人员和设施安全。而且储能系统在充放电过程中的能量管理若出现问题，也会影响其寿命和性能，进而影响整个源网荷储系统的稳定性。这种风险的危险程度极高，一旦发生事故，后果不堪设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电力调度与控制系统故障风险：项目依赖先进的电力调度和控制系统来协调源网荷储各环节的运行，如果该系统遭受黑客攻击、软件漏洞或硬件故障，可能导致调度指令错误、数据丢失或系统瘫痪，使得整个电力系统失去控制，造成大面积停电和设备损坏，对生产生活造成严重影响，危险程度不容小觑。</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人为操作失误风险：运维人员在设备操作、检修、调试等过程中，可能因技能不足、违规操作或疏忽大意而引发事故，如误操作电气设备导致触电、误拉合开关引发电网故障等。虽然单个操作失误可能影响范围有限，但长期来看，人为因素引发事故的累积风险不可忽视，危险程度中等偏上，通过加强人员培训和安全管理可有效降低此类风险。</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72" w:name="_Toc11841"/>
      <w:bookmarkStart w:id="73" w:name="_Toc20906"/>
      <w:r>
        <w:rPr>
          <w:rFonts w:hint="eastAsia" w:ascii="宋体" w:hAnsi="宋体" w:eastAsia="宋体" w:cs="宋体"/>
          <w:b/>
          <w:bCs/>
          <w:sz w:val="28"/>
          <w:szCs w:val="28"/>
          <w:lang w:val="en-US" w:eastAsia="zh-CN"/>
        </w:rPr>
        <w:t>5.3 运营管理方案</w:t>
      </w:r>
      <w:bookmarkEnd w:id="72"/>
      <w:bookmarkEnd w:id="73"/>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5.3.1 项目组织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为确保项目的建设能够顺利的进行、顺利实施，尽快的投入运营，早日的发挥其重要的价值所在，务必切实加强领导，做好项目的前期准备工作，确保项目的工程质量与进度的完善。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本项目在建设期间，由建设单位组建建设领导小组，有效地负责项目的组织、协调与管理，并负责控制项目建设的进度、质量和投资。项目指挥部下设办公室、工程管理部、物资供应部、计划财务部等职能部门。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5.3.2 劳动定员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本项目建成后运营期</w:t>
      </w:r>
      <w:r>
        <w:rPr>
          <w:rFonts w:hint="eastAsia" w:ascii="宋体" w:hAnsi="宋体" w:eastAsia="宋体" w:cs="宋体"/>
          <w:snapToGrid/>
          <w:color w:val="000000"/>
          <w:spacing w:val="0"/>
          <w:w w:val="100"/>
          <w:kern w:val="2"/>
          <w:position w:val="0"/>
          <w:sz w:val="28"/>
          <w:szCs w:val="28"/>
          <w:lang w:val="en-US" w:eastAsia="zh-CN" w:bidi="zh-CN"/>
        </w:rPr>
        <w:t>间，运营公司需新增劳动定员5人。主要负责项目运营及对入驻企业的监管。</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5.3.3 人员素质要求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高级管理人员如总经理、各部门经理、技术人员、管理人员由公司委派；中级管理人员，各车间经理、领班及技术骨干来源主要有三个渠道：一是由企业中挑选进行培训；二是从同行业中聘请，三是从应届专业学校毕业生中直接选拔。一般工作人员由公司内部调配解决，不足部分向社会公开招聘，择优录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在筹建期间要安排好企业员工的培训，以便受训人员可以及时投入到设备安装调试和试生产中。</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技术培训主要内容包括全员文化素质培训、生产管理培训、关键技术的应用培训、关键设备的操作与维修培训、产品研制开发培训、质量控制培训、安全培训等。培训对象包括生产工人、技术人员及管理人员。培训方式以国内为主，具体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1、组织理论知识学习，提高职工文化知识水平。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2、在本项目投产前组织各类新增人员就地培训，上岗前要组织考核，择优上岗。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3、聘请有实践经验的专家来厂现场指导传授技术。安排有实践经验的技术人员给不同岗位的干部工人上课，提高全员业务素质。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4、企业主要负责人、主管设备、技术、安全的负责人及安全生产管理人员应具有行业相关经验，能够按规范要求进行管理，有能力对工作中出现的各种问题进行良好的处理。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5、从业人员上岗前必须经过相关法规教育及相应技术培训，企业应建立培训及考核档案，企业负责人及生产、品质管理部门负责人还应接受相关专业培训。</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5.3.4 员工培训计划</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的管理人员、技术人员及生产人员的素质是企业形象的具体体现，特别是在市场经济的今天，从业人员的素质的高低是企业发展的关键。因此，本项目生产关键环节的有关人员，拟派到国内同类型中水回用综合项目进行培训，其他人员由公司组织就地培训，请经验丰富的专业技术人员讲课，使生产人员能够掌握基础知识和基本技能，并要严格考核，持证上岗，培训人员应不少于一线操作人员中的60%—70%，培训时间应根据岗位操作的复杂程度确定，通常为1—2个月，人员培训工作一定要安排在设备调试前进行。</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bookmarkStart w:id="74" w:name="_Toc20554"/>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5</w:t>
      </w:r>
      <w:r>
        <w:rPr>
          <w:rFonts w:hint="eastAsia" w:ascii="宋体" w:hAnsi="宋体" w:eastAsia="宋体" w:cs="宋体"/>
          <w:b/>
          <w:bCs/>
          <w:sz w:val="28"/>
          <w:szCs w:val="28"/>
        </w:rPr>
        <w:t xml:space="preserve"> 安全生产责任制</w:t>
      </w:r>
      <w:bookmarkEnd w:id="7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安全生产责任制是确保企业安全生产的基础。企业应该设立安全生产管理机构，明确各级领导和员工的安全生产职责，并制定相应的安全生产规章制度。这样可以使各级管理者和员工都明确自己的安全生产职责，提高整个企业的安全管理水平。同时，企业还应加强对员工的安全教育培训，增强员工的安全意识和安全技能。</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6</w:t>
      </w:r>
      <w:r>
        <w:rPr>
          <w:rFonts w:hint="eastAsia" w:ascii="宋体" w:hAnsi="宋体" w:eastAsia="宋体" w:cs="宋体"/>
          <w:b/>
          <w:bCs/>
          <w:sz w:val="28"/>
          <w:szCs w:val="28"/>
        </w:rPr>
        <w:t xml:space="preserve"> 建立安全管理机构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机构是负责安全管理的组织机构，在企业中起着至关重要的作用。企业应该设立专门的安全管理机构，主要负责安全管理制度的制定和实施、安全生产资料管理、安全生产监督和检查等方面的工作。安全管理机构应拥有足够的权力和资源，能够有效地履行安全管理职责。</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7</w:t>
      </w:r>
      <w:r>
        <w:rPr>
          <w:rFonts w:hint="eastAsia" w:ascii="宋体" w:hAnsi="宋体" w:eastAsia="宋体" w:cs="宋体"/>
          <w:b/>
          <w:bCs/>
          <w:sz w:val="28"/>
          <w:szCs w:val="28"/>
        </w:rPr>
        <w:t xml:space="preserve"> 建立安全管理体系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安全管理体系是安全管理的重要组成部分，包括安全制度、安全防范、安全监控和安全救援等方面。通过建立完善的安全管理体系，企业可以加强对生产过程中的安全控制，有效预防和应对各种安全风险。安全管理体系应根据企业的实际情况进行设计，保证其完整、系统、有效。</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w:t>
      </w:r>
      <w:r>
        <w:rPr>
          <w:rFonts w:hint="eastAsia" w:ascii="宋体" w:hAnsi="宋体" w:eastAsia="宋体" w:cs="宋体"/>
          <w:b/>
          <w:bCs/>
          <w:sz w:val="28"/>
          <w:szCs w:val="28"/>
        </w:rPr>
        <w:t>.</w:t>
      </w:r>
      <w:r>
        <w:rPr>
          <w:rFonts w:hint="eastAsia" w:ascii="宋体" w:hAnsi="宋体" w:eastAsia="宋体" w:cs="宋体"/>
          <w:b/>
          <w:bCs/>
          <w:sz w:val="28"/>
          <w:szCs w:val="28"/>
          <w:lang w:val="en-US" w:eastAsia="zh-CN"/>
        </w:rPr>
        <w:t>8</w:t>
      </w:r>
      <w:r>
        <w:rPr>
          <w:rFonts w:hint="eastAsia" w:ascii="宋体" w:hAnsi="宋体" w:eastAsia="宋体" w:cs="宋体"/>
          <w:b/>
          <w:bCs/>
          <w:sz w:val="28"/>
          <w:szCs w:val="28"/>
        </w:rPr>
        <w:t xml:space="preserve"> 安全防范措施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1、环境监测与风险控制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获嘉县在推进本项目时，需要强化环境监管，确保项目在建设和运营过程中符合环保要求，减少对生态环境的影响。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2、技术与设施升级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采用先进的源网荷储理念，对园区内光伏和储能设备进行智能化管理，提高系统的安全性和可靠性。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3、风险评估与管理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建立风险评估体系，对项目可能面临的技术风险、市场风险、财务风险等进行评估，并制定相应的应对措施。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4、公众参与宣传教育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提高公众对新能源电力及源网荷储模式的认知度，鼓励公众参与项目的监督和管理，同时通过宣传教育增强公众的环保意识和安全意识。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5、加强员工培训和安全意识教育</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加强员工的安全培训和安全意识教育，确保操作人员能够正确地运用设备，并预防和处理安全事故。员工作业时提供必要的个人防护装备，如安全帽、防护眼镜、防滑鞋、防护服等。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6、信息化管理及加强信息安全保护</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利用现代信息技术，建立智能化的管理系统，实现远程监控、数据分析和智能调度，提高管理效率和服务质量。采取多层次、多措施的信息安全保障体系，对数据进行分类备份、加密传输、审计监控等，防止数据被盗窃。</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5.</w:t>
      </w:r>
      <w:r>
        <w:rPr>
          <w:rFonts w:hint="eastAsia" w:ascii="宋体" w:hAnsi="宋体" w:eastAsia="宋体" w:cs="宋体"/>
          <w:b/>
          <w:bCs/>
          <w:sz w:val="28"/>
          <w:szCs w:val="28"/>
          <w:lang w:val="en-US" w:eastAsia="zh-CN"/>
        </w:rPr>
        <w:t>3.9</w:t>
      </w:r>
      <w:r>
        <w:rPr>
          <w:rFonts w:hint="eastAsia" w:ascii="宋体" w:hAnsi="宋体" w:eastAsia="宋体" w:cs="宋体"/>
          <w:b/>
          <w:bCs/>
          <w:sz w:val="28"/>
          <w:szCs w:val="28"/>
        </w:rPr>
        <w:t xml:space="preserve"> 项目应急管理预案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1、应急响应机制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实际情况建立应急响应机制。该机制包括应急组织架构、应急响应程序、应急调度指挥等方面。应急响应机制中要包括人员责任分工，产生应急事件时，每个应急小组成员要知道自己的职责和任务，并发挥自己的专业优势协助处理应急事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2、应急预案制定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在应急预案中对可能发生的应急事故进行分类、评估和判断。应急预案的制订要按照应急响应等级，明确应急工作的步骤和措施，以及一次性应急物资采购和物资储备计划、应急复工方案等。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3、应急资源准备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前申购和储备物资和设备，准备充分、有序的应急物资，及时更新物资库存数量。在应急预案制定的基础上建立物资应急储备体系，合理分配应急物资储备、物资采购和供应商选择及沟通等。预防与应急响应物资有关的问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4、应急培训措施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组织企业内部的应急培训，针对不同岗位的员工，开展不同层次、不同内容的应急培训。企业应急培训内容可以包括防范知识、急救抢救技能、危机公关和虚拟疏散等。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5、应急调度和信息化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建立应急调度与信息化系统，快速响应线上网络安全问题、IT设备故障问题等，并制定应急调度预案，明确应急处置的流程。同时应加强网络安全防御，利用信息化技术加强危险源信息预警和防范。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6、应急演练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定期开展应急演练，包括突发事件处理、防火演练、应急疏散演练等，确保预案的可行性和实用性。演练中的细节和业务流程应与预案的实操情况配合，以最大程度地发挥应急预案的价值和作用。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7、突发事件处理流程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在突发事件处理流程中提前设计应急响应步骤和具体实施方案，建立应急指挥体系，明确人员职责、应急调度、物资储备、应急通讯和技术保障等，确保应急传递的快捷与准确，应急处理的及时与有效性。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8、应急通讯和报警系统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完备、连通的应急通讯和报警系统，综合利用网络通信设备、人员通讯设备等手段，确保应急信息及时传递，应急通讯系统的成功率和通畅度高。预警和警报的判断，能够准确和及时发布，为迅速响应和有效出击提供重要支持。</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9、规范记录和督查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建立应急事件记录和督查制度，对应急情况进行详细记录，及时反馈和沟通。同时实时向管理层汇报应急事件情况，强化督查和检查效果，不断完善具体的应急处置措施和应对经验。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应急管理预案的详细性和全面性是保障企业安全的重要保障措施。企业应该认真执行应急管理预案，不断加强应急意识和应急响应能力，提高应急处置水平，以保障企业和人员的生命和资产安全。</w:t>
      </w:r>
    </w:p>
    <w:p>
      <w:pPr>
        <w:rPr>
          <w:rFonts w:hint="eastAsia" w:ascii="宋体" w:hAnsi="宋体" w:eastAsia="宋体" w:cs="宋体"/>
          <w:b/>
          <w:i w:val="false"/>
          <w:strike w:val="false"/>
          <w:color w:val="000000"/>
          <w:spacing w:val="0"/>
          <w:sz w:val="36"/>
          <w:u w:val="none"/>
          <w:vertAlign w:val="baseline"/>
          <w:lang w:val="en-US" w:eastAsia="zh-CN"/>
        </w:rPr>
      </w:pPr>
      <w:r>
        <w:rPr>
          <w:rFonts w:hint="eastAsia" w:ascii="宋体" w:hAnsi="宋体" w:eastAsia="宋体" w:cs="宋体"/>
          <w:b/>
          <w:i w:val="false"/>
          <w:strike w:val="false"/>
          <w:color w:val="000000"/>
          <w:spacing w:val="0"/>
          <w:sz w:val="36"/>
          <w:u w:val="none"/>
          <w:vertAlign w:val="baseline"/>
          <w:lang w:val="en-US" w:eastAsia="zh-CN"/>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lang w:val="en-US" w:eastAsia="zh-CN"/>
        </w:rPr>
      </w:pPr>
      <w:bookmarkStart w:id="75" w:name="_Toc8006"/>
      <w:bookmarkStart w:id="76" w:name="_Toc25672"/>
      <w:bookmarkStart w:id="77" w:name="_Toc24940"/>
      <w:r>
        <w:rPr>
          <w:rFonts w:hint="eastAsia" w:ascii="宋体" w:hAnsi="宋体" w:eastAsia="宋体" w:cs="宋体"/>
          <w:b/>
          <w:bCs/>
          <w:sz w:val="36"/>
          <w:szCs w:val="36"/>
          <w:lang w:val="en-US" w:eastAsia="zh-CN"/>
        </w:rPr>
        <w:t>第六章 项目投融资与财务方案</w:t>
      </w:r>
      <w:bookmarkEnd w:id="75"/>
      <w:bookmarkEnd w:id="76"/>
      <w:bookmarkEnd w:id="77"/>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78" w:name="_Toc11271"/>
      <w:bookmarkStart w:id="79" w:name="_Toc2334"/>
      <w:bookmarkStart w:id="80" w:name="_Toc26679"/>
      <w:r>
        <w:rPr>
          <w:rFonts w:hint="eastAsia" w:ascii="宋体" w:hAnsi="宋体" w:eastAsia="宋体" w:cs="宋体"/>
          <w:b/>
          <w:bCs/>
          <w:sz w:val="28"/>
          <w:szCs w:val="28"/>
          <w:lang w:val="en-US" w:eastAsia="zh-CN"/>
        </w:rPr>
        <w:t>6.1 项目投资估算及说明</w:t>
      </w:r>
      <w:bookmarkEnd w:id="78"/>
      <w:bookmarkEnd w:id="79"/>
      <w:bookmarkEnd w:id="80"/>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6.1.1 工程概况</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420"/>
        <w:jc w:val="both"/>
        <w:textAlignment w:val="baseline"/>
        <w:rPr>
          <w:rFonts w:hint="eastAsia" w:ascii="宋体" w:hAnsi="宋体" w:eastAsia="宋体" w:cs="宋体"/>
          <w:sz w:val="28"/>
          <w:szCs w:val="28"/>
        </w:rPr>
      </w:pPr>
      <w:r>
        <w:rPr>
          <w:rFonts w:hint="eastAsia" w:ascii="宋体" w:hAnsi="宋体" w:eastAsia="宋体" w:cs="宋体"/>
          <w:i w:val="false"/>
          <w:strike w:val="false"/>
          <w:color w:val="000000"/>
          <w:spacing w:val="0"/>
          <w:w w:val="100"/>
          <w:sz w:val="28"/>
          <w:szCs w:val="28"/>
          <w:u w:val="none"/>
        </w:rPr>
        <w:t>河南大成包装材料有限公司源网荷储一体化项目分为两期建设，需要在获嘉县产业集聚区创业孵化园区内工业厂房屋顶部署5956</w:t>
      </w:r>
      <w:r>
        <w:rPr>
          <w:rFonts w:hint="eastAsia" w:ascii="宋体" w:hAnsi="宋体" w:eastAsia="宋体" w:cs="宋体"/>
          <w:i w:val="false"/>
          <w:strike w:val="false"/>
          <w:color w:val="000000"/>
          <w:spacing w:val="0"/>
          <w:w w:val="100"/>
          <w:sz w:val="28"/>
          <w:szCs w:val="28"/>
          <w:u w:val="none"/>
          <w:lang w:eastAsia="zh-CN"/>
        </w:rPr>
        <w:t>kW</w:t>
      </w:r>
      <w:r>
        <w:rPr>
          <w:rFonts w:hint="eastAsia" w:ascii="宋体" w:hAnsi="宋体" w:eastAsia="宋体" w:cs="宋体"/>
          <w:i w:val="false"/>
          <w:strike w:val="false"/>
          <w:color w:val="000000"/>
          <w:spacing w:val="0"/>
          <w:w w:val="100"/>
          <w:sz w:val="28"/>
          <w:szCs w:val="28"/>
          <w:u w:val="none"/>
        </w:rPr>
        <w:t>的分布式光伏发电系统，并配套安装20MW/40MWh用户侧储能设施（包含3MW充换点储能设备），安装5个600</w:t>
      </w:r>
      <w:r>
        <w:rPr>
          <w:rFonts w:hint="eastAsia" w:ascii="宋体" w:hAnsi="宋体" w:eastAsia="宋体" w:cs="宋体"/>
          <w:i w:val="false"/>
          <w:strike w:val="false"/>
          <w:color w:val="000000"/>
          <w:spacing w:val="0"/>
          <w:w w:val="100"/>
          <w:sz w:val="28"/>
          <w:szCs w:val="28"/>
          <w:u w:val="none"/>
          <w:lang w:eastAsia="zh-CN"/>
        </w:rPr>
        <w:t>kW</w:t>
      </w:r>
      <w:r>
        <w:rPr>
          <w:rFonts w:hint="eastAsia" w:ascii="宋体" w:hAnsi="宋体" w:eastAsia="宋体" w:cs="宋体"/>
          <w:i w:val="false"/>
          <w:strike w:val="false"/>
          <w:color w:val="000000"/>
          <w:spacing w:val="0"/>
          <w:w w:val="100"/>
          <w:sz w:val="28"/>
          <w:szCs w:val="28"/>
          <w:u w:val="none"/>
        </w:rPr>
        <w:t>液冷光伏充电桩，同步实施园区其他相关配套工程。</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left="0" w:right="0" w:firstLine="420"/>
        <w:jc w:val="both"/>
        <w:textAlignment w:val="baseline"/>
        <w:rPr>
          <w:rFonts w:hint="eastAsia" w:ascii="宋体" w:hAnsi="宋体" w:eastAsia="宋体" w:cs="宋体"/>
          <w:i w:val="false"/>
          <w:strike w:val="false"/>
          <w:color w:val="000000"/>
          <w:spacing w:val="0"/>
          <w:w w:val="100"/>
          <w:sz w:val="28"/>
          <w:szCs w:val="28"/>
          <w:u w:val="none"/>
        </w:rPr>
      </w:pPr>
      <w:r>
        <w:rPr>
          <w:rFonts w:hint="eastAsia" w:ascii="宋体" w:hAnsi="宋体" w:eastAsia="宋体" w:cs="宋体"/>
          <w:i w:val="false"/>
          <w:strike w:val="false"/>
          <w:color w:val="000000"/>
          <w:spacing w:val="0"/>
          <w:w w:val="100"/>
          <w:sz w:val="28"/>
          <w:szCs w:val="28"/>
          <w:u w:val="none"/>
        </w:rPr>
        <w:t>本项目为（一期）建设内容，需要在获嘉县产业集聚区创业孵化园区内工业厂房屋顶部署5956</w:t>
      </w:r>
      <w:r>
        <w:rPr>
          <w:rFonts w:hint="eastAsia" w:ascii="宋体" w:hAnsi="宋体" w:eastAsia="宋体" w:cs="宋体"/>
          <w:i w:val="false"/>
          <w:strike w:val="false"/>
          <w:color w:val="000000"/>
          <w:spacing w:val="0"/>
          <w:w w:val="100"/>
          <w:sz w:val="28"/>
          <w:szCs w:val="28"/>
          <w:u w:val="none"/>
          <w:lang w:eastAsia="zh-CN"/>
        </w:rPr>
        <w:t>kW</w:t>
      </w:r>
      <w:r>
        <w:rPr>
          <w:rFonts w:hint="eastAsia" w:ascii="宋体" w:hAnsi="宋体" w:eastAsia="宋体" w:cs="宋体"/>
          <w:i w:val="false"/>
          <w:strike w:val="false"/>
          <w:color w:val="000000"/>
          <w:spacing w:val="0"/>
          <w:w w:val="100"/>
          <w:sz w:val="28"/>
          <w:szCs w:val="28"/>
          <w:u w:val="none"/>
        </w:rPr>
        <w:t>的分布式光伏发电系统，并配套安装10MW/20MWh用户侧储能设施（包含3MW充换点储能设备），安装5个600</w:t>
      </w:r>
      <w:r>
        <w:rPr>
          <w:rFonts w:hint="eastAsia" w:ascii="宋体" w:hAnsi="宋体" w:eastAsia="宋体" w:cs="宋体"/>
          <w:i w:val="false"/>
          <w:strike w:val="false"/>
          <w:color w:val="000000"/>
          <w:spacing w:val="0"/>
          <w:w w:val="100"/>
          <w:sz w:val="28"/>
          <w:szCs w:val="28"/>
          <w:u w:val="none"/>
          <w:lang w:eastAsia="zh-CN"/>
        </w:rPr>
        <w:t>kW</w:t>
      </w:r>
      <w:r>
        <w:rPr>
          <w:rFonts w:hint="eastAsia" w:ascii="宋体" w:hAnsi="宋体" w:eastAsia="宋体" w:cs="宋体"/>
          <w:i w:val="false"/>
          <w:strike w:val="false"/>
          <w:color w:val="000000"/>
          <w:spacing w:val="0"/>
          <w:w w:val="100"/>
          <w:sz w:val="28"/>
          <w:szCs w:val="28"/>
          <w:u w:val="none"/>
        </w:rPr>
        <w:t>液冷光伏充电桩，同步实施园区其他相关配套工程，利用源网荷储模式为河南大成包装材料有限公司提供绿色电力能源供应；二期将建20MWh储能设施，与一期衔接提升能源调节与保障能力，助力园区能源优化。</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《投资项目可行性研究报告》（计办投资〔2002〕15号）；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《投资项目经济咨询评估指南》（咨经〔1998〕11号）；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《建设工程工程量清单计价规范》（GB50500-2013）；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《河南省市政工程预算定额》（HAA1-31-2016）；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《河南省房屋建筑与装饰工程预算定额》（HA01-31-2016）；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《河南省通用安装工程预算定额》（HA02-31-2016）；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河南省有关造价文件。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设备费用依据近期向制造厂询价计算。</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6.1.3 投资构成与估算参数</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项目（一期）投资主要是固定资产投资，其中固定资产投资由工程费用、工程建设其他费用、预备费、建设期利息四部分组成，详细情况如下。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1、工程费用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工程费用包括设备购置费，根据相同结构的类似工程计算，并参考现行市场材料价格和当地工程造价指数信息进行调整，以单方指标计入，具体如下。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（1）设备购置费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光伏设备：该项目设备主要</w:t>
      </w:r>
      <w:r>
        <w:rPr>
          <w:rFonts w:hint="eastAsia" w:ascii="宋体" w:hAnsi="宋体" w:eastAsia="宋体" w:cs="宋体"/>
          <w:i w:val="false"/>
          <w:strike w:val="false"/>
          <w:spacing w:val="0"/>
          <w:sz w:val="28"/>
          <w:szCs w:val="28"/>
          <w:u w:val="none"/>
        </w:rPr>
        <w:t>640Wp单晶N型</w:t>
      </w:r>
      <w:r>
        <w:rPr>
          <w:rFonts w:hint="eastAsia" w:ascii="宋体" w:hAnsi="宋体" w:eastAsia="宋体" w:cs="宋体"/>
          <w:snapToGrid/>
          <w:color w:val="auto"/>
          <w:spacing w:val="0"/>
          <w:w w:val="100"/>
          <w:kern w:val="2"/>
          <w:position w:val="0"/>
          <w:sz w:val="28"/>
          <w:szCs w:val="28"/>
          <w:lang w:val="en-US" w:eastAsia="zh-CN" w:bidi="zh-CN"/>
        </w:rPr>
        <w:t>、逆变器、交流汇流箱、光伏支架、光伏直流电缆、MC4连接器、交流电缆、干式变压器（箱变)、光伏接入柜、并网柜、站用变电柜、10kV动态无功补偿装置、高压电缆、组件、电气安装、辅材等其他辅助设备，本项目建设光伏电站5.956MW。预计费用1708.65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储能设备：电池系统5000KWH、储能变流器、集装箱柜体、温控系统、消防系统、储能EMS、15KWH换电系统(3000KWH)、储能箱基础及连接电缆及其他附件设备。预计费用2175.40万元。</w:t>
      </w:r>
    </w:p>
    <w:p>
      <w:pPr>
        <w:keepNext w:val="false"/>
        <w:keepLines w:val="false"/>
        <w:pageBreakBefore w:val="false"/>
        <w:widowControl w:val="false"/>
        <w:kinsoku/>
        <w:wordWrap/>
        <w:overflowPunct/>
        <w:topLinePunct/>
        <w:autoSpaceDE w:val="false"/>
        <w:autoSpaceDN/>
        <w:bidi w:val="false"/>
        <w:snapToGrid/>
        <w:spacing w:before="157" w:beforeLines="50" w:after="157" w:afterLines="50" w:line="360" w:lineRule="auto"/>
        <w:ind w:firstLine="550"/>
        <w:textAlignment w:val="baseline"/>
        <w:rPr>
          <w:rFonts w:hint="eastAsia" w:ascii="宋体" w:hAnsi="宋体" w:eastAsia="宋体" w:cs="宋体"/>
          <w:sz w:val="28"/>
          <w:szCs w:val="28"/>
        </w:rPr>
      </w:pPr>
      <w:r>
        <w:rPr>
          <w:rFonts w:hint="eastAsia" w:ascii="宋体" w:hAnsi="宋体" w:eastAsia="宋体" w:cs="宋体"/>
          <w:i w:val="false"/>
          <w:strike w:val="false"/>
          <w:color w:val="000000"/>
          <w:sz w:val="28"/>
          <w:szCs w:val="28"/>
          <w:u w:val="none"/>
        </w:rPr>
        <w:t>（2）园区配套工程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该项目室外工程主要包括：升压/降压变压器、中压输电电缆、绿化等相关配套工程、10kv储能变电站、中心配电室变压器2000KVA、</w:t>
      </w:r>
      <w:r>
        <w:rPr>
          <w:rFonts w:hint="eastAsia" w:ascii="宋体" w:hAnsi="宋体" w:eastAsia="宋体" w:cs="宋体"/>
          <w:i w:val="false"/>
          <w:strike w:val="false"/>
          <w:spacing w:val="0"/>
          <w:sz w:val="28"/>
          <w:szCs w:val="28"/>
          <w:u w:val="none"/>
        </w:rPr>
        <w:t>光伏充电桩（600</w:t>
      </w:r>
      <w:r>
        <w:rPr>
          <w:rFonts w:hint="eastAsia" w:ascii="宋体" w:hAnsi="宋体" w:eastAsia="宋体" w:cs="宋体"/>
          <w:i w:val="false"/>
          <w:strike w:val="false"/>
          <w:spacing w:val="0"/>
          <w:sz w:val="28"/>
          <w:szCs w:val="28"/>
          <w:u w:val="none"/>
          <w:lang w:eastAsia="zh-CN"/>
        </w:rPr>
        <w:t>kW</w:t>
      </w:r>
      <w:r>
        <w:rPr>
          <w:rFonts w:hint="eastAsia" w:ascii="宋体" w:hAnsi="宋体" w:eastAsia="宋体" w:cs="宋体"/>
          <w:i w:val="false"/>
          <w:strike w:val="false"/>
          <w:spacing w:val="0"/>
          <w:sz w:val="28"/>
          <w:szCs w:val="28"/>
          <w:u w:val="none"/>
        </w:rPr>
        <w:t>液冷）其中包含充电桩单桩价格110万元，</w:t>
      </w:r>
      <w:r>
        <w:rPr>
          <w:rFonts w:hint="eastAsia" w:ascii="宋体" w:hAnsi="宋体" w:eastAsia="宋体" w:cs="宋体"/>
          <w:snapToGrid/>
          <w:color w:val="auto"/>
          <w:spacing w:val="0"/>
          <w:w w:val="100"/>
          <w:kern w:val="2"/>
          <w:position w:val="0"/>
          <w:sz w:val="28"/>
          <w:szCs w:val="28"/>
          <w:lang w:val="en-US" w:eastAsia="zh-CN" w:bidi="zh-CN"/>
        </w:rPr>
        <w:t>预计总费用886.27万元。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2、工程建设其他费用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一期）工程其他费用包括建设单位管理费、建设工程监理费、建设项目前期咨询费、工程勘察费、工程设计费、环境影响咨询服务费、场地准备及临时设施费、工程保险费、招标代理费、工程造价咨询费、</w:t>
      </w:r>
      <w:r>
        <w:rPr>
          <w:rFonts w:hint="eastAsia" w:ascii="宋体" w:hAnsi="宋体" w:eastAsia="宋体" w:cs="宋体"/>
          <w:i w:val="false"/>
          <w:strike w:val="false"/>
          <w:spacing w:val="0"/>
          <w:sz w:val="28"/>
          <w:szCs w:val="28"/>
          <w:u w:val="none"/>
        </w:rPr>
        <w:t>屋顶荷载检测费</w:t>
      </w:r>
      <w:r>
        <w:rPr>
          <w:rFonts w:hint="eastAsia" w:ascii="宋体" w:hAnsi="宋体" w:eastAsia="宋体" w:cs="宋体"/>
          <w:snapToGrid/>
          <w:color w:val="auto"/>
          <w:spacing w:val="0"/>
          <w:w w:val="100"/>
          <w:kern w:val="2"/>
          <w:position w:val="0"/>
          <w:sz w:val="28"/>
          <w:szCs w:val="28"/>
          <w:lang w:val="en-US" w:eastAsia="zh-CN" w:bidi="zh-CN"/>
        </w:rPr>
        <w:t>等。具体情况如下：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（1）建设单位管理费：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根据财建〔2016〕504号文结合实际情况计取按23.85万元计入。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（2）建设工程监理费：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根据发改价格〔2015〕299号、豫建监协〔2015〕19号文并结合实际情况按28.62万元计取。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（3）建设项目前期工作咨询费：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根据参考豫发改收费〔2011〕627号并结合实际情况按23.85万元计取。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（4）工程勘察费：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根据国家计委、根据发改价格〔2015〕299号文并结合实际情况按26.17万元计取。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（5）工程设计费：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根据国家计委、建设部计价格〔2002〕10号文及发改价格〔2015〕299号文并结合实际情况按47.70万元计取。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（6）环境影响咨询服务费：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根据发改价格〔2015〕299号及发改收费〔2011〕627号文并结合实际情况按4.77万元计取。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（7）场地准备费及临时设施费：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根据《市政工程投资估算编制办法》（建标〔2007〕164号）文件并结合实际情况按26.24万元计取。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（8）工程保险费：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根据《中华人民共和国保险法》和《合同法》等法律法规规定并结合实际情况按13.90万元计取。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（9）招标代理服务费：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根据参考豫发改收费〔2011〕627号文并结合市场情况按16.22万元计取。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（10）工程造价咨询费：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根据中价协〔2013〕35号文并结合实际情况按14.31万元计取。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（11）</w:t>
      </w:r>
      <w:r>
        <w:rPr>
          <w:rFonts w:hint="eastAsia" w:ascii="宋体" w:hAnsi="宋体" w:eastAsia="宋体" w:cs="宋体"/>
          <w:i w:val="false"/>
          <w:strike w:val="false"/>
          <w:spacing w:val="0"/>
          <w:sz w:val="28"/>
          <w:szCs w:val="28"/>
          <w:u w:val="none"/>
        </w:rPr>
        <w:t>屋顶荷载检测费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根据《关于规范房屋安全鉴定收费的通知》和《房屋安全鉴定收费标准》等文件要求并结合实际情况按10.64万元。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3、预备费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基本预备费，以工程建设费与工程建设其他费用之和为基数，其中，基本预备费按照工程费用和工程其他费用之和5%计入，按250.33万元计取，涨价预备费按照0万元计取。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4、建设期利息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本项目建设期为0.5年（含建设期准备工作），计划2026年3月开工，预计2026年6月竣工，利率4.50%，建设期内按金融机构计息计划投入。</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6.1.4 投资估算和资金筹措</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1、投资估算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项目总投资8767.59万元，其中项目工程费用7902.57万元，占总投资的90.13%；工程建设其它费用372.52万元，占总投资的4.25%；预备费413.75万元，占总投资的4.72%；建设期利息78.75万元，占总投资的0.90%。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项目（一期）总投资5304.18万元，其中项目工程费用4770.32万元，占总投资的89.94%；工程建设其它费用236.28万元，占总投资的4.45%；预备费250.33万元，占总投资的4.7</w:t>
      </w:r>
      <w:r>
        <w:rPr>
          <w:rFonts w:hint="eastAsia" w:ascii="宋体" w:hAnsi="宋体" w:eastAsia="宋体" w:cs="宋体"/>
          <w:i w:val="false"/>
          <w:strike w:val="false"/>
          <w:color w:val="000000"/>
          <w:spacing w:val="0"/>
          <w:w w:val="100"/>
          <w:sz w:val="28"/>
          <w:szCs w:val="28"/>
          <w:u w:val="none"/>
        </w:rPr>
        <w:t>2%；建设期利息47.25万元，占总投资的0.89%。项目投资构成如下表所示:</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项目总投资构成一览表</w:t>
      </w:r>
    </w:p>
    <w:tbl>
      <w:tblPr>
        <w:tblStyle w:val="00000a"/>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2335"/>
        <w:gridCol w:w="1289"/>
        <w:gridCol w:w="761"/>
        <w:gridCol w:w="1119"/>
        <w:gridCol w:w="1914"/>
      </w:tblGrid>
      <w:tr>
        <w:trPr>
          <w:trHeight w:val="590" w:hRule="atLeast"/>
          <w:tblHeader/>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序号</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工程或费用名称</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合计</w:t>
            </w:r>
          </w:p>
        </w:tc>
        <w:tc>
          <w:tcPr>
            <w:tcW w:w="7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单位</w:t>
            </w: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数量</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综合单价（万元）</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一</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工程费用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4770.32</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89.94%</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二</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工程建设其他费用</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236.28</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4.45%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三</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预备费</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250.33</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4.72%</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四</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建设投资合计</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5256.93</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99.11%</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五</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建设期利息</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47.25</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0.89%</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六</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固定资产投资</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5304.18</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100.00%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八</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项目总投资</w:t>
            </w:r>
          </w:p>
        </w:tc>
        <w:tc>
          <w:tcPr>
            <w:tcW w:w="12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5304.18</w:t>
            </w:r>
          </w:p>
        </w:tc>
        <w:tc>
          <w:tcPr>
            <w:tcW w:w="37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sz w:val="18"/>
                <w:szCs w:val="18"/>
                <w:u w:val="none"/>
              </w:rPr>
            </w:pPr>
            <w:r>
              <w:rPr>
                <w:rFonts w:hint="eastAsia" w:ascii="宋体" w:hAnsi="宋体" w:eastAsia="宋体" w:cs="宋体"/>
                <w:b w:val="false"/>
                <w:bCs w:val="false"/>
                <w:i w:val="false"/>
                <w:iCs w:val="false"/>
                <w:snapToGrid w:val="false"/>
                <w:color w:val="000000"/>
                <w:kern w:val="0"/>
                <w:sz w:val="18"/>
                <w:szCs w:val="18"/>
                <w:u w:val="none"/>
                <w:lang w:val="en-US" w:eastAsia="zh-CN" w:bidi="ar"/>
              </w:rPr>
              <w:t>100.00%</w:t>
            </w:r>
          </w:p>
        </w:tc>
      </w:tr>
    </w:tbl>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after="157"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项目（一期）投资构成一览表</w:t>
      </w:r>
    </w:p>
    <w:tbl>
      <w:tblPr>
        <w:tblStyle w:val="00000a"/>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6"/>
        <w:gridCol w:w="2335"/>
        <w:gridCol w:w="1429"/>
        <w:gridCol w:w="621"/>
        <w:gridCol w:w="1429"/>
        <w:gridCol w:w="1604"/>
      </w:tblGrid>
      <w:tr>
        <w:trPr>
          <w:trHeight w:val="590" w:hRule="atLeast"/>
          <w:tblHeader/>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序号</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工程或费用名称</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合计</w:t>
            </w:r>
          </w:p>
        </w:tc>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单位</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数量</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综合单价（万元）</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一</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4770.32</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89.94%</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1708.65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5956</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0.287</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640Wp单晶N型</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11168.00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0.079</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57.00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1.420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1.036</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87.29</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1.799</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5.500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套</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610.00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0.022</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18.225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20.260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5.132</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4.711</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35.000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41.300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80.250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5950.00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0.027</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电池储能集装箱</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2175.40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17000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0.128</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电池系统 5000KWH</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1003.00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358.21</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56</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42</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22.4</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2.9</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15KWH换电系统(3000KWH)</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600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886.27</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5551.3</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0.227</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升压/降压变压器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中压输电电缆</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150</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3000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25.99</w:t>
            </w:r>
          </w:p>
        </w:tc>
        <w:tc>
          <w:tcPr>
            <w:tcW w:w="6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82</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0.317</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3.4</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55.28</w:t>
            </w:r>
          </w:p>
        </w:tc>
        <w:tc>
          <w:tcPr>
            <w:tcW w:w="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40</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1.382</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3.5</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3.6</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光伏充电桩（600kW液冷）</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550</w:t>
            </w:r>
          </w:p>
        </w:tc>
        <w:tc>
          <w:tcPr>
            <w:tcW w:w="62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42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160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236.28</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4.45%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28.62</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工程勘察费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屋顶荷载检测费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10.64</w:t>
            </w:r>
          </w:p>
        </w:tc>
        <w:tc>
          <w:tcPr>
            <w:tcW w:w="621" w:type="dxa"/>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429"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1604"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47.70</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26.24</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13.90</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16.22</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14.31</w:t>
            </w:r>
          </w:p>
        </w:tc>
        <w:tc>
          <w:tcPr>
            <w:tcW w:w="621" w:type="dxa"/>
            <w:tcBorders>
              <w:top w:val="single" w:color="000000" w:sz="4" w:space="0"/>
              <w:left w:val="single" w:color="000000" w:sz="4" w:space="0"/>
              <w:bottom w:val="single" w:color="000000" w:sz="4" w:space="0"/>
              <w:right w:val="nil"/>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429" w:type="dxa"/>
            <w:tcBorders>
              <w:top w:val="single" w:color="000000" w:sz="4" w:space="0"/>
              <w:left w:val="nil"/>
              <w:bottom w:val="single" w:color="000000" w:sz="4" w:space="0"/>
              <w:right w:val="nil"/>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c>
          <w:tcPr>
            <w:tcW w:w="1604" w:type="dxa"/>
            <w:tcBorders>
              <w:top w:val="single" w:color="000000" w:sz="4"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250.33</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4.72%</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250.33</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（一+二）*5%</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5256.93</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99.11%</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sz w:val="18"/>
                <w:szCs w:val="18"/>
                <w:u w:val="none"/>
              </w:rPr>
            </w:pP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47.25</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0.89%</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5304.18</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r>
        <w:trPr>
          <w:trHeight w:val="420" w:hRule="atLeast"/>
        </w:trPr>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八</w:t>
            </w:r>
          </w:p>
        </w:tc>
        <w:tc>
          <w:tcPr>
            <w:tcW w:w="23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项目总投资</w:t>
            </w:r>
          </w:p>
        </w:tc>
        <w:tc>
          <w:tcPr>
            <w:tcW w:w="14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5304.18</w:t>
            </w:r>
          </w:p>
        </w:tc>
        <w:tc>
          <w:tcPr>
            <w:tcW w:w="36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2、资金投入计划和筹措方案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本项目（一期）总投资</w:t>
      </w:r>
      <w:r>
        <w:rPr>
          <w:rFonts w:ascii="宋体" w:hAnsi="宋体" w:eastAsia="宋体" w:cs="宋体"/>
          <w:i w:val="false"/>
          <w:strike w:val="false"/>
          <w:color w:val="000000"/>
          <w:spacing w:val="0"/>
          <w:w w:val="100"/>
          <w:sz w:val="28"/>
          <w:szCs w:val="28"/>
          <w:u w:val="none"/>
        </w:rPr>
        <w:t>5816.94</w:t>
      </w:r>
      <w:r>
        <w:rPr>
          <w:rFonts w:hint="eastAsia" w:ascii="宋体" w:hAnsi="宋体" w:eastAsia="宋体" w:cs="宋体"/>
          <w:snapToGrid/>
          <w:color w:val="000000"/>
          <w:spacing w:val="0"/>
          <w:w w:val="100"/>
          <w:kern w:val="2"/>
          <w:position w:val="0"/>
          <w:sz w:val="28"/>
          <w:szCs w:val="28"/>
          <w:lang w:val="en-US" w:eastAsia="zh-CN" w:bidi="zh-CN"/>
        </w:rPr>
        <w:t>万元，其中固定资产投资</w:t>
      </w:r>
      <w:r>
        <w:rPr>
          <w:rFonts w:ascii="宋体" w:hAnsi="宋体" w:eastAsia="宋体" w:cs="宋体"/>
          <w:i w:val="false"/>
          <w:strike w:val="false"/>
          <w:color w:val="000000"/>
          <w:spacing w:val="0"/>
          <w:w w:val="100"/>
          <w:sz w:val="28"/>
          <w:szCs w:val="28"/>
          <w:u w:val="none"/>
        </w:rPr>
        <w:t>5816.94</w:t>
      </w:r>
      <w:r>
        <w:rPr>
          <w:rFonts w:hint="eastAsia" w:ascii="宋体" w:hAnsi="宋体" w:eastAsia="宋体" w:cs="宋体"/>
          <w:snapToGrid/>
          <w:color w:val="000000"/>
          <w:spacing w:val="0"/>
          <w:w w:val="100"/>
          <w:kern w:val="2"/>
          <w:position w:val="0"/>
          <w:sz w:val="28"/>
          <w:szCs w:val="28"/>
          <w:lang w:val="en-US" w:eastAsia="zh-CN" w:bidi="zh-CN"/>
        </w:rPr>
        <w:t>万元，0.5年建设期内均匀投入。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bookmarkStart w:id="81" w:name="_Toc27847"/>
      <w:bookmarkStart w:id="82" w:name="_Toc22702"/>
      <w:r>
        <w:rPr>
          <w:rFonts w:hint="eastAsia" w:ascii="宋体" w:hAnsi="宋体" w:eastAsia="宋体" w:cs="宋体"/>
          <w:snapToGrid/>
          <w:color w:val="000000"/>
          <w:spacing w:val="0"/>
          <w:w w:val="100"/>
          <w:kern w:val="2"/>
          <w:position w:val="0"/>
          <w:sz w:val="28"/>
          <w:szCs w:val="28"/>
          <w:lang w:val="en-US" w:eastAsia="zh-CN" w:bidi="zh-CN"/>
        </w:rPr>
        <w:t>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00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其中，项目（一期）资本金1104.18万元，占总投资的20.82%，项目融资、企业自筹资金或其他债务性资金4200.00万元，占总投资的79.18%。</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83" w:name="_Toc6414"/>
      <w:r>
        <w:rPr>
          <w:rFonts w:hint="eastAsia" w:ascii="宋体" w:hAnsi="宋体" w:eastAsia="宋体" w:cs="宋体"/>
          <w:b/>
          <w:bCs/>
          <w:sz w:val="28"/>
          <w:szCs w:val="28"/>
          <w:lang w:val="en-US" w:eastAsia="zh-CN"/>
        </w:rPr>
        <w:t>6.2 财务盈利能力分析</w:t>
      </w:r>
      <w:bookmarkEnd w:id="81"/>
      <w:bookmarkEnd w:id="82"/>
      <w:bookmarkEnd w:id="83"/>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 财务评价的目标和原则</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财务评价是在国家现行财税制度和价格体系的前提下，根据国民经济与社会发展的趋势、行业发展状态、地区发展规划和行业政策的具体情况，从项目的角度出发，在项目初步方案的基础上，采用科学的分析方法，计算项目范围内的财务效益和费用，分析项目的盈利能力和清偿能力，分析论证拟建项目的财务可行性，评价项目在财务上的可行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评价原则：1、客观性、科学性、公正性原则。2、坚持定量分析与定性分析相结合原则。3、以定量分析为主评价中采用动态与静态分析相结合，以动态分析为主原则。</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6.2.2 编制依据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《国家发展和改革委员会、建设部关于建设项目经济评价工作的若干规定》（发改投资〔2006〕1325号）文件。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《建设项目经济评价方法与参数》(第三版)。</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《企业会计准则》及其相关规定。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《中华人民共和国企业所得税法》及其相关规定。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《中华人民共和国增值税法》及其相关规定。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《项目融资业务指引》。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其他财税管理办法。</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6.2.3 参数选取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遵循同期性、有效性、谨慎性和准确性的原则，结合国家财税法律法规、项目所在地区、归属行业以及项目自身特点，选取项目参数，具体情况如下。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w:t>
      </w:r>
      <w:r>
        <w:rPr>
          <w:rFonts w:ascii="宋体" w:hAnsi="宋体" w:eastAsia="宋体" w:cs="宋体"/>
          <w:i w:val="false"/>
          <w:strike w:val="false"/>
          <w:spacing w:val="0"/>
          <w:sz w:val="28"/>
          <w:szCs w:val="28"/>
          <w:u w:val="none"/>
        </w:rPr>
        <w:t>光伏储能设备按照20年折旧，残值率5%，折旧方法为平均年限法</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2、根据现行的税收政策规定，增值税按最新税率13%、9%计算，城市建设维护税按7%，教育费附加税按3%，企业所得税率按25%。</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3、项目计算期12年，其中建设期0.5年。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项目财务基准收益率（折现率）为4.2%。目前，无风险收益率（10年期国债收益率）在2.1%左右，因本项目是服务饮食的民生项目，行业发展确定性较强，行业风险相对较小，所以风险收益暂定为2.1%，即项目财务基准收益率（折现率）为4.2%。</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6.2.4 项目收入测算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本项目（一期）建成后收入由光伏收入、储能电站收入及充电桩收入三部分构成。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1、光伏发电收入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（1）数量：</w:t>
      </w:r>
      <w:r>
        <w:rPr>
          <w:rFonts w:ascii="宋体" w:hAnsi="宋体" w:eastAsia="宋体" w:cs="宋体"/>
          <w:i w:val="false"/>
          <w:strike w:val="false"/>
          <w:color w:val="000000"/>
          <w:spacing w:val="0"/>
          <w:sz w:val="28"/>
          <w:szCs w:val="28"/>
          <w:u w:val="none"/>
        </w:rPr>
        <w:t>本项目采用“源网荷储模式”，结合企业</w:t>
      </w:r>
      <w:r>
        <w:rPr>
          <w:rFonts w:hint="eastAsia" w:ascii="宋体" w:hAnsi="宋体" w:eastAsia="宋体" w:cs="宋体"/>
          <w:i w:val="false"/>
          <w:strike w:val="false"/>
          <w:color w:val="000000"/>
          <w:spacing w:val="0"/>
          <w:sz w:val="28"/>
          <w:szCs w:val="28"/>
          <w:u w:val="none"/>
        </w:rPr>
        <w:t>河南大成包装材料</w:t>
      </w:r>
      <w:r>
        <w:rPr>
          <w:rFonts w:ascii="宋体" w:hAnsi="宋体" w:eastAsia="宋体" w:cs="宋体"/>
          <w:i w:val="false"/>
          <w:strike w:val="false"/>
          <w:spacing w:val="0"/>
          <w:sz w:val="28"/>
          <w:szCs w:val="28"/>
          <w:u w:val="none"/>
        </w:rPr>
        <w:t>有限公司</w:t>
      </w:r>
      <w:r>
        <w:rPr>
          <w:rFonts w:hint="eastAsia" w:ascii="宋体" w:hAnsi="宋体" w:eastAsia="宋体" w:cs="宋体"/>
          <w:i w:val="false"/>
          <w:strike w:val="false"/>
          <w:spacing w:val="0"/>
          <w:sz w:val="28"/>
          <w:szCs w:val="28"/>
          <w:u w:val="none"/>
        </w:rPr>
        <w:t>2024年7月</w:t>
      </w:r>
      <w:r>
        <w:rPr>
          <w:rFonts w:hint="eastAsia" w:ascii="宋体" w:hAnsi="宋体" w:eastAsia="宋体" w:cs="宋体"/>
          <w:i w:val="false"/>
          <w:strike w:val="false"/>
          <w:spacing w:val="0"/>
          <w:sz w:val="28"/>
          <w:szCs w:val="28"/>
          <w:u w:val="none"/>
          <w:lang w:eastAsia="zh-CN"/>
        </w:rPr>
        <w:t>—</w:t>
      </w:r>
      <w:r>
        <w:rPr>
          <w:rFonts w:hint="eastAsia" w:ascii="宋体" w:hAnsi="宋体" w:eastAsia="宋体" w:cs="宋体"/>
          <w:i w:val="false"/>
          <w:strike w:val="false"/>
          <w:spacing w:val="0"/>
          <w:sz w:val="28"/>
          <w:szCs w:val="28"/>
          <w:u w:val="none"/>
        </w:rPr>
        <w:t>2025年6月</w:t>
      </w:r>
      <w:r>
        <w:rPr>
          <w:rFonts w:ascii="宋体" w:hAnsi="宋体" w:eastAsia="宋体" w:cs="宋体"/>
          <w:i w:val="false"/>
          <w:strike w:val="false"/>
          <w:spacing w:val="0"/>
          <w:sz w:val="28"/>
          <w:szCs w:val="28"/>
          <w:u w:val="none"/>
        </w:rPr>
        <w:t>年用电量6</w:t>
      </w:r>
      <w:r>
        <w:rPr>
          <w:rFonts w:hint="eastAsia" w:ascii="宋体" w:hAnsi="宋体" w:eastAsia="宋体" w:cs="宋体"/>
          <w:i w:val="false"/>
          <w:strike w:val="false"/>
          <w:spacing w:val="0"/>
          <w:sz w:val="28"/>
          <w:szCs w:val="28"/>
          <w:u w:val="none"/>
        </w:rPr>
        <w:t>8</w:t>
      </w:r>
      <w:r>
        <w:rPr>
          <w:rFonts w:ascii="宋体" w:hAnsi="宋体" w:eastAsia="宋体" w:cs="宋体"/>
          <w:i w:val="false"/>
          <w:strike w:val="false"/>
          <w:spacing w:val="0"/>
          <w:sz w:val="28"/>
          <w:szCs w:val="28"/>
          <w:u w:val="none"/>
        </w:rPr>
        <w:t>89.68万kWh</w:t>
      </w:r>
      <w:r>
        <w:rPr>
          <w:rFonts w:hint="eastAsia" w:ascii="宋体" w:hAnsi="宋体" w:eastAsia="宋体" w:cs="宋体"/>
          <w:i w:val="false"/>
          <w:strike w:val="false"/>
          <w:spacing w:val="0"/>
          <w:sz w:val="28"/>
          <w:szCs w:val="28"/>
          <w:u w:val="none"/>
        </w:rPr>
        <w:t>（详见下表）</w:t>
      </w:r>
      <w:r>
        <w:rPr>
          <w:rFonts w:ascii="宋体" w:hAnsi="宋体" w:eastAsia="宋体" w:cs="宋体"/>
          <w:i w:val="false"/>
          <w:strike w:val="false"/>
          <w:spacing w:val="0"/>
          <w:sz w:val="28"/>
          <w:szCs w:val="28"/>
          <w:u w:val="none"/>
        </w:rPr>
        <w:t>，即年平均用电负荷为55MW左右，</w:t>
      </w:r>
      <w:r>
        <w:rPr>
          <w:rFonts w:hint="eastAsia" w:ascii="宋体" w:hAnsi="宋体" w:eastAsia="宋体" w:cs="宋体"/>
          <w:i w:val="false"/>
          <w:strike w:val="false"/>
          <w:spacing w:val="0"/>
          <w:sz w:val="28"/>
          <w:szCs w:val="28"/>
          <w:u w:val="none"/>
          <w:lang w:eastAsia="zh-CN"/>
        </w:rPr>
        <w:t>根据</w:t>
      </w:r>
      <w:r>
        <w:rPr>
          <w:rFonts w:hint="eastAsia" w:ascii="宋体" w:hAnsi="宋体" w:eastAsia="宋体" w:cs="宋体"/>
          <w:snapToGrid/>
          <w:color w:val="auto"/>
          <w:spacing w:val="0"/>
          <w:w w:val="100"/>
          <w:kern w:val="2"/>
          <w:position w:val="0"/>
          <w:sz w:val="28"/>
          <w:szCs w:val="28"/>
          <w:lang w:val="en-US" w:eastAsia="zh-CN" w:bidi="zh-CN"/>
        </w:rPr>
        <w:t>大成包装2025年</w:t>
      </w:r>
      <w:r>
        <w:rPr>
          <w:rFonts w:hint="eastAsia" w:ascii="宋体" w:hAnsi="宋体" w:eastAsia="宋体" w:cs="宋体"/>
          <w:snapToGrid/>
          <w:color w:val="auto"/>
          <w:spacing w:val="0"/>
          <w:w w:val="100"/>
          <w:kern w:val="2"/>
          <w:position w:val="0"/>
          <w:sz w:val="28"/>
          <w:szCs w:val="28"/>
          <w:lang w:val="en-US" w:eastAsia="zh-CN" w:bidi="zh-CN"/>
        </w:rPr>
        <w:t>5</w:t>
      </w:r>
      <w:r>
        <w:rPr>
          <w:rFonts w:hint="eastAsia" w:ascii="宋体" w:hAnsi="宋体" w:eastAsia="宋体" w:cs="宋体"/>
          <w:snapToGrid/>
          <w:color w:val="auto"/>
          <w:spacing w:val="0"/>
          <w:w w:val="100"/>
          <w:kern w:val="2"/>
          <w:position w:val="0"/>
          <w:sz w:val="28"/>
          <w:szCs w:val="28"/>
          <w:lang w:val="en-US" w:eastAsia="zh-CN" w:bidi="zh-CN"/>
        </w:rPr>
        <w:t>-10月份用电负荷曲线显示，该企业在</w:t>
      </w:r>
      <w:r>
        <w:rPr>
          <w:rFonts w:hint="eastAsia" w:ascii="宋体" w:hAnsi="宋体" w:eastAsia="宋体" w:cs="宋体"/>
          <w:snapToGrid/>
          <w:color w:val="auto"/>
          <w:spacing w:val="0"/>
          <w:w w:val="100"/>
          <w:kern w:val="2"/>
          <w:position w:val="0"/>
          <w:sz w:val="28"/>
          <w:szCs w:val="28"/>
          <w:lang w:val="en-US" w:eastAsia="zh-CN" w:bidi="zh-CN"/>
        </w:rPr>
        <w:t>2025年</w:t>
      </w:r>
      <w:r>
        <w:rPr>
          <w:rFonts w:hint="eastAsia" w:ascii="宋体" w:hAnsi="宋体" w:eastAsia="宋体" w:cs="宋体"/>
          <w:snapToGrid/>
          <w:color w:val="auto"/>
          <w:spacing w:val="0"/>
          <w:w w:val="100"/>
          <w:kern w:val="2"/>
          <w:position w:val="0"/>
          <w:sz w:val="28"/>
          <w:szCs w:val="28"/>
          <w:lang w:val="en-US" w:eastAsia="zh-CN" w:bidi="zh-CN"/>
        </w:rPr>
        <w:t>平段用电量</w:t>
      </w:r>
      <w:r>
        <w:rPr>
          <w:rFonts w:hint="eastAsia" w:ascii="宋体" w:hAnsi="宋体" w:eastAsia="宋体" w:cs="宋体"/>
          <w:snapToGrid/>
          <w:color w:val="auto"/>
          <w:spacing w:val="0"/>
          <w:w w:val="100"/>
          <w:kern w:val="2"/>
          <w:position w:val="0"/>
          <w:sz w:val="28"/>
          <w:szCs w:val="28"/>
          <w:lang w:val="en-US" w:eastAsia="zh-CN" w:bidi="zh-CN"/>
        </w:rPr>
        <w:t>1842.84</w:t>
      </w:r>
      <w:r>
        <w:rPr>
          <w:rFonts w:ascii="宋体" w:hAnsi="宋体" w:eastAsia="宋体" w:cs="宋体"/>
          <w:i w:val="false"/>
          <w:strike w:val="false"/>
          <w:color w:val="auto"/>
          <w:spacing w:val="0"/>
          <w:sz w:val="28"/>
          <w:szCs w:val="28"/>
          <w:u w:val="none"/>
        </w:rPr>
        <w:t>kWh</w:t>
      </w:r>
      <w:r>
        <w:rPr>
          <w:rFonts w:hint="eastAsia" w:ascii="宋体" w:hAnsi="宋体" w:eastAsia="宋体" w:cs="宋体"/>
          <w:snapToGrid/>
          <w:color w:val="auto"/>
          <w:spacing w:val="0"/>
          <w:w w:val="100"/>
          <w:kern w:val="2"/>
          <w:position w:val="0"/>
          <w:sz w:val="28"/>
          <w:szCs w:val="28"/>
          <w:lang w:val="en-US" w:eastAsia="zh-CN" w:bidi="zh-CN"/>
        </w:rPr>
        <w:t>，其余为低谷时段，</w:t>
      </w:r>
      <w:r>
        <w:rPr>
          <w:rFonts w:ascii="宋体" w:hAnsi="宋体" w:eastAsia="宋体" w:cs="宋体"/>
          <w:i w:val="false"/>
          <w:strike w:val="false"/>
          <w:color w:val="auto"/>
          <w:spacing w:val="0"/>
          <w:sz w:val="28"/>
          <w:szCs w:val="28"/>
          <w:u w:val="none"/>
        </w:rPr>
        <w:t>该企业距本项目光伏电站2公里左右（小于</w:t>
      </w:r>
      <w:r>
        <w:rPr>
          <w:rFonts w:hint="eastAsia" w:ascii="宋体" w:hAnsi="宋体" w:eastAsia="宋体" w:cs="宋体"/>
          <w:snapToGrid/>
          <w:color w:val="auto"/>
          <w:spacing w:val="0"/>
          <w:w w:val="100"/>
          <w:kern w:val="2"/>
          <w:position w:val="0"/>
          <w:sz w:val="28"/>
          <w:szCs w:val="28"/>
          <w:lang w:val="en-US" w:eastAsia="zh-CN" w:bidi="zh-CN"/>
        </w:rPr>
        <w:t>20公里），根据测算，光伏电站每年发电量为718.07万kWh（3.349kWh/kWp/天*5956kWp*360天），考虑到该企业是24小时生产，白天平谷时段用电</w:t>
      </w:r>
      <w:r>
        <w:rPr>
          <w:rFonts w:hint="eastAsia" w:ascii="宋体" w:hAnsi="宋体" w:eastAsia="宋体" w:cs="宋体"/>
          <w:snapToGrid/>
          <w:color w:val="auto"/>
          <w:spacing w:val="0"/>
          <w:w w:val="100"/>
          <w:kern w:val="2"/>
          <w:position w:val="0"/>
          <w:sz w:val="28"/>
          <w:szCs w:val="28"/>
          <w:lang w:val="en-US" w:eastAsia="zh-CN" w:bidi="zh-CN"/>
        </w:rPr>
        <w:t>1842.84</w:t>
      </w:r>
      <w:r>
        <w:rPr>
          <w:rFonts w:ascii="宋体" w:hAnsi="宋体" w:eastAsia="宋体" w:cs="宋体"/>
          <w:i w:val="false"/>
          <w:strike w:val="false"/>
          <w:spacing w:val="0"/>
          <w:sz w:val="28"/>
          <w:szCs w:val="28"/>
          <w:u w:val="none"/>
        </w:rPr>
        <w:t>万kWh</w:t>
      </w:r>
      <w:r>
        <w:rPr>
          <w:rFonts w:hint="eastAsia" w:ascii="宋体" w:hAnsi="宋体" w:eastAsia="宋体" w:cs="宋体"/>
          <w:snapToGrid/>
          <w:color w:val="auto"/>
          <w:spacing w:val="0"/>
          <w:w w:val="100"/>
          <w:kern w:val="2"/>
          <w:position w:val="0"/>
          <w:sz w:val="28"/>
          <w:szCs w:val="28"/>
          <w:lang w:val="en-US" w:eastAsia="zh-CN" w:bidi="zh-CN"/>
        </w:rPr>
        <w:t>，本项目光伏发电将直接由该企业100%消纳。</w:t>
      </w:r>
    </w:p>
    <w:p>
      <w:pPr>
        <w:keepNext w:val="false"/>
        <w:keepLines w:val="false"/>
        <w:pageBreakBefore w:val="false"/>
        <w:widowControl w:val="false"/>
        <w:pBdr>
          <w:bottom w:val="none" w:color="auto" w:sz="0" w:space="0"/>
        </w:pBdr>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2" w:firstLineChars="200"/>
        <w:jc w:val="center"/>
        <w:textAlignment w:val="baseline"/>
        <w:outlineLvl w:val="9"/>
        <w:rPr>
          <w:rFonts w:hint="eastAsia" w:ascii="宋体" w:hAnsi="宋体" w:eastAsia="宋体" w:cs="宋体"/>
          <w:b/>
          <w:snapToGrid/>
          <w:color w:val="auto"/>
          <w:spacing w:val="0"/>
          <w:w w:val="100"/>
          <w:kern w:val="2"/>
          <w:position w:val="0"/>
          <w:sz w:val="28"/>
          <w:szCs w:val="28"/>
          <w:lang w:val="en-US" w:eastAsia="zh-CN" w:bidi="zh-CN"/>
        </w:rPr>
      </w:pPr>
      <w:r>
        <w:rPr>
          <w:rFonts w:hint="eastAsia" w:ascii="宋体" w:hAnsi="宋体" w:eastAsia="宋体" w:cs="宋体"/>
          <w:b/>
          <w:snapToGrid/>
          <w:color w:val="auto"/>
          <w:spacing w:val="0"/>
          <w:w w:val="100"/>
          <w:kern w:val="2"/>
          <w:position w:val="0"/>
          <w:sz w:val="28"/>
          <w:szCs w:val="28"/>
          <w:lang w:val="en-US" w:eastAsia="zh-CN" w:bidi="zh-CN"/>
        </w:rPr>
        <w:t>大成包装用电量</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2710"/>
        <w:gridCol w:w="1445"/>
        <w:gridCol w:w="2710"/>
      </w:tblGrid>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b/>
                <w:i w:val="false"/>
                <w:strike w:val="false"/>
                <w:color w:val="000000"/>
                <w:spacing w:val="0"/>
                <w:sz w:val="21"/>
                <w:szCs w:val="21"/>
                <w:u w:val="none"/>
              </w:rPr>
              <w:t>2024年</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b/>
                <w:i w:val="false"/>
                <w:strike w:val="false"/>
                <w:color w:val="000000"/>
                <w:spacing w:val="0"/>
                <w:sz w:val="21"/>
                <w:szCs w:val="21"/>
                <w:u w:val="none"/>
              </w:rPr>
              <w:t>用电量（万kwh）</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b/>
                <w:i w:val="false"/>
                <w:strike w:val="false"/>
                <w:color w:val="000000"/>
                <w:spacing w:val="0"/>
                <w:sz w:val="21"/>
                <w:szCs w:val="21"/>
                <w:u w:val="none"/>
              </w:rPr>
              <w:t>2025年</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b/>
                <w:i w:val="false"/>
                <w:strike w:val="false"/>
                <w:color w:val="000000"/>
                <w:spacing w:val="0"/>
                <w:sz w:val="21"/>
                <w:szCs w:val="21"/>
                <w:u w:val="none"/>
              </w:rPr>
              <w:t>用电量（万kwh）</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7月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493.99</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1月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489.21</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8月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513.83</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2月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510.51</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9月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603.61</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3月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686.45</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10月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499.38</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4月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598.78</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11月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618.82</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5月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632.23</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12月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635.15</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6月</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607.72</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小计</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3364.78</w:t>
            </w:r>
          </w:p>
        </w:tc>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小计</w:t>
            </w:r>
          </w:p>
        </w:tc>
        <w:tc>
          <w:tcPr>
            <w:tcW w:w="2710"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3524.9</w:t>
            </w:r>
          </w:p>
        </w:tc>
      </w:tr>
      <w:tr>
        <w:trPr>
          <w:trHeight w:val="420" w:hRule="atLeast"/>
        </w:trPr>
        <w:tc>
          <w:tcPr>
            <w:tcW w:w="1445" w:type="dxa"/>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合计</w:t>
            </w:r>
          </w:p>
        </w:tc>
        <w:tc>
          <w:tcPr>
            <w:tcW w:w="6865" w:type="dxa"/>
            <w:gridSpan w:val="3"/>
            <w:tcBorders>
              <w:top w:val="single" w:color="000000" w:sz="6" w:space="0"/>
              <w:left w:val="single" w:color="000000" w:sz="6" w:space="0"/>
              <w:bottom w:val="single" w:color="000000" w:sz="6" w:space="0"/>
              <w:right w:val="single" w:color="000000" w:sz="6" w:space="0"/>
            </w:tcBorders>
            <w:tcMar>
              <w:bottom w:w="0" w:type="dxa"/>
            </w:tcMar>
            <w:vAlign w:val="center"/>
          </w:tcPr>
          <w:p>
            <w:pPr>
              <w:widowControl w:val="false"/>
              <w:snapToGrid/>
              <w:spacing w:before="0" w:after="0" w:line="240" w:lineRule="auto"/>
              <w:jc w:val="center"/>
              <w:rPr>
                <w:sz w:val="21"/>
                <w:szCs w:val="21"/>
              </w:rPr>
            </w:pPr>
            <w:r>
              <w:rPr>
                <w:rFonts w:ascii="宋体" w:hAnsi="宋体" w:eastAsia="宋体" w:cs="宋体"/>
                <w:i w:val="false"/>
                <w:strike w:val="false"/>
                <w:color w:val="000000"/>
                <w:spacing w:val="0"/>
                <w:sz w:val="21"/>
                <w:szCs w:val="21"/>
                <w:u w:val="none"/>
              </w:rPr>
              <w:t>6889.68</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（2）衰减值：光伏发电首年衰减值为1%，剩余每年衰减值为0.4%。</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（3）1kW光</w:t>
      </w:r>
      <w:r>
        <w:rPr>
          <w:rFonts w:ascii="宋体" w:hAnsi="宋体" w:eastAsia="宋体" w:cs="宋体"/>
          <w:i w:val="false"/>
          <w:strike w:val="false"/>
          <w:spacing w:val="0"/>
          <w:sz w:val="28"/>
          <w:u w:val="none"/>
        </w:rPr>
        <w:t>伏装机容量平均日发电量：光伏发电时段在8:00-18:00，考虑日照时间、气温、照射角度等因素，根据Global Solar Atlas太阳能资源分析软件进行计算，如下图所示，1</w:t>
      </w:r>
      <w:r>
        <w:rPr>
          <w:rFonts w:hint="eastAsia" w:ascii="宋体" w:hAnsi="宋体" w:eastAsia="宋体" w:cs="宋体"/>
          <w:i w:val="false"/>
          <w:strike w:val="false"/>
          <w:spacing w:val="0"/>
          <w:sz w:val="28"/>
          <w:u w:val="none"/>
          <w:lang w:eastAsia="zh-CN"/>
        </w:rPr>
        <w:t>kW</w:t>
      </w:r>
      <w:r>
        <w:rPr>
          <w:rFonts w:ascii="宋体" w:hAnsi="宋体" w:eastAsia="宋体" w:cs="宋体"/>
          <w:i w:val="false"/>
          <w:strike w:val="false"/>
          <w:spacing w:val="0"/>
          <w:sz w:val="28"/>
          <w:u w:val="none"/>
        </w:rPr>
        <w:t>光伏装机容量每日发电量为3.349kWh/kWp/天,本项目预计年发电量3.349kWh/kWp/天*</w:t>
      </w:r>
      <w:r>
        <w:rPr>
          <w:rFonts w:hint="eastAsia" w:ascii="宋体" w:hAnsi="宋体" w:eastAsia="宋体" w:cs="宋体"/>
          <w:i w:val="false"/>
          <w:strike w:val="false"/>
          <w:spacing w:val="0"/>
          <w:sz w:val="28"/>
          <w:u w:val="none"/>
          <w:lang w:val="en-US" w:eastAsia="zh-CN"/>
        </w:rPr>
        <w:t>5956</w:t>
      </w:r>
      <w:r>
        <w:rPr>
          <w:rFonts w:ascii="宋体" w:hAnsi="宋体" w:eastAsia="宋体" w:cs="宋体"/>
          <w:i w:val="false"/>
          <w:strike w:val="false"/>
          <w:spacing w:val="0"/>
          <w:sz w:val="28"/>
          <w:u w:val="none"/>
        </w:rPr>
        <w:t>kWp*360天=</w:t>
      </w:r>
      <w:r>
        <w:rPr>
          <w:rFonts w:hint="eastAsia" w:ascii="宋体" w:hAnsi="宋体" w:eastAsia="宋体" w:cs="宋体"/>
          <w:i w:val="false"/>
          <w:strike w:val="false"/>
          <w:spacing w:val="0"/>
          <w:sz w:val="28"/>
          <w:u w:val="none"/>
          <w:lang w:val="en-US" w:eastAsia="zh-CN"/>
        </w:rPr>
        <w:t>718.08</w:t>
      </w:r>
      <w:r>
        <w:rPr>
          <w:rFonts w:ascii="宋体" w:hAnsi="宋体" w:eastAsia="宋体" w:cs="宋体"/>
          <w:i w:val="false"/>
          <w:strike w:val="false"/>
          <w:spacing w:val="0"/>
          <w:sz w:val="28"/>
          <w:u w:val="none"/>
        </w:rPr>
        <w:t>万kWh</w:t>
      </w:r>
      <w:r>
        <w:rPr>
          <w:rFonts w:hint="eastAsia" w:ascii="宋体" w:hAnsi="宋体" w:eastAsia="宋体" w:cs="宋体"/>
          <w:snapToGrid/>
          <w:color w:val="auto"/>
          <w:spacing w:val="0"/>
          <w:w w:val="100"/>
          <w:kern w:val="2"/>
          <w:position w:val="0"/>
          <w:sz w:val="28"/>
          <w:szCs w:val="28"/>
          <w:lang w:val="en-US" w:eastAsia="zh-CN" w:bidi="zh-CN"/>
        </w:rPr>
        <w:t>。</w:t>
      </w:r>
    </w:p>
    <w:p>
      <w:pPr>
        <w:keepNext w:val="false"/>
        <w:keepLines w:val="false"/>
        <w:pageBreakBefore w:val="false"/>
        <w:widowControl w:val="false"/>
        <w:kinsoku/>
        <w:wordWrap/>
        <w:overflowPunct/>
        <w:topLinePunct w:val="false"/>
        <w:autoSpaceDE/>
        <w:autoSpaceDN/>
        <w:bidi w:val="false"/>
        <w:adjustRightInd/>
        <w:snapToGrid/>
        <w:spacing w:before="157" w:beforeLines="50" w:after="157" w:afterLines="50"/>
        <w:ind w:left="0" w:leftChars="0" w:firstLine="0" w:firstLineChars="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drawing>
          <wp:inline distT="0" distB="0" distL="0" distR="0">
            <wp:extent cx="5274310" cy="2454275"/>
            <wp:effectExtent l="0" t="0" r="0" b="0"/>
            <wp:docPr id="56" name="picture" descr="descript"/>
            <wp:cNvGraphicFramePr/>
            <a:graphic>
              <a:graphicData uri="http://schemas.openxmlformats.org/drawingml/2006/picture">
                <pic:pic>
                  <pic:nvPicPr>
                    <pic:cNvPr id="57" name="picture" descr="descript"/>
                    <pic:cNvPicPr/>
                  </pic:nvPicPr>
                  <pic:blipFill>
                    <a:blip r:embed="rId25"/>
                    <a:stretch>
                      <a:fillRect/>
                    </a:stretch>
                  </pic:blipFill>
                  <pic:spPr>
                    <a:xfrm>
                      <a:off x="0" y="0"/>
                      <a:ext cx="5274310" cy="2454297"/>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工商业用电平均电价：根据国网河南省电力公司代理购电工商业用户电价表，本项目电压等级为1千—10千伏区间，根据河南省发展改革委发布的《关于调整工商业分时电价有关事项的通知》规定：高峰段为16--24时，低谷时段为0时-次日7时，其余时段为平段，工商业用电平段电价为0.69元/kWh左右（每月电价有一定浮动），出于谨慎性原则，光伏发电主要用于平段供应，项目平段供应用电电价为0.57元/kWh，暂不考虑电价调幅及尖峰时段电价。</w:t>
      </w:r>
    </w:p>
    <w:p>
      <w:pPr>
        <w:keepNext w:val="false"/>
        <w:keepLines w:val="false"/>
        <w:pageBreakBefore w:val="false"/>
        <w:widowControl w:val="false"/>
        <w:numPr>
          <w:ilvl w:val="0"/>
          <w:numId w:val="0"/>
        </w:numPr>
        <w:kinsoku/>
        <w:wordWrap/>
        <w:overflowPunct/>
        <w:topLinePunct w:val="false"/>
        <w:autoSpaceDE/>
        <w:autoSpaceDN/>
        <w:bidi w:val="false"/>
        <w:adjustRightInd/>
        <w:snapToGrid/>
        <w:jc w:val="both"/>
        <w:textAlignment w:val="auto"/>
        <w:rPr>
          <w:rFonts w:hint="eastAsia" w:eastAsia="宋体"/>
          <w:lang w:eastAsia="zh-CN"/>
        </w:rPr>
      </w:pPr>
      <w:r>
        <w:rPr>
          <w:rFonts w:hint="eastAsia" w:eastAsia="宋体"/>
          <w:lang w:eastAsia="zh-CN"/>
        </w:rPr>
        <w:drawing>
          <wp:inline distT="0" distB="0" distL="0" distR="0">
            <wp:extent cx="5274310" cy="2912745"/>
            <wp:effectExtent l="0" t="0" r="0" b="0"/>
            <wp:docPr id="59" name="picture" descr="descript"/>
            <wp:cNvGraphicFramePr/>
            <a:graphic>
              <a:graphicData uri="http://schemas.openxmlformats.org/drawingml/2006/picture">
                <pic:pic>
                  <pic:nvPicPr>
                    <pic:cNvPr id="60" name="picture" descr="descript"/>
                    <pic:cNvPicPr/>
                  </pic:nvPicPr>
                  <pic:blipFill>
                    <a:blip r:embed="rId26"/>
                    <a:stretch>
                      <a:fillRect/>
                    </a:stretch>
                  </pic:blipFill>
                  <pic:spPr>
                    <a:xfrm>
                      <a:off x="0" y="0"/>
                      <a:ext cx="5274310" cy="291305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谨慎性原则，本次测算工商业用电平均电价为0.57元/kWh，则自发自用电费收益=（自用率*装机容量*1kW光伏装机容量平均日发电量*年发电天数-储能日储存电量*360）*工商业用电平均电价，贷款存续期间自用收益经营性收入估算合计为4554.38万元。（装机容量运营期首年衰减1%，以后每年衰减0.4%）详情请见估算表收入部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2、储能电站收益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峰值需求量：河南大成包装材料有限公司年用电需求6889.68万kWh，考虑到该企业是24小时生产，经调取2025年5月—2025年10用电曲线，大成包装在峰值用电490万kWh（高峰段为16--24时），本项目配备储能发电系统总计17MW，其中普通用户侧储能为14MW，剩余3MW分布式换电储能设备，该设备可做储能也可以做二轮或者三轮换电，因二轮或者三轮换电需要专业团队运营，收入存在不确定性，本次测算将换电不作为收入计算，仅计算储能收入。本项目考虑储能使用产能效率90%，本项目最大储能量为每天2.8*5000=17000kWh。为谨慎考虑，日放电效率按照92%计算为17000*90%*92%=114076kWh。年储能供电量是14076kWh*360=506万kWh，可满足该企业波峰用电需求。</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i w:val="false"/>
          <w:strike w:val="false"/>
          <w:color w:val="000000"/>
          <w:spacing w:val="0"/>
          <w:sz w:val="28"/>
          <w:szCs w:val="28"/>
          <w:u w:val="none"/>
          <w:lang w:val="en-US" w:eastAsia="zh-CN"/>
        </w:rPr>
      </w:pPr>
      <w:r>
        <w:rPr>
          <w:rFonts w:hint="eastAsia" w:ascii="宋体" w:hAnsi="宋体" w:eastAsia="宋体" w:cs="宋体"/>
          <w:snapToGrid/>
          <w:color w:val="auto"/>
          <w:spacing w:val="0"/>
          <w:w w:val="100"/>
          <w:kern w:val="2"/>
          <w:position w:val="0"/>
          <w:sz w:val="28"/>
          <w:szCs w:val="28"/>
          <w:lang w:val="en-US" w:eastAsia="zh-CN" w:bidi="zh-CN"/>
        </w:rPr>
        <w:t>（2）储能销售电价：根据结合近2025年7月份电力公司代理购电工商业用户电价表推算，峰值价差约为0.73元/kwh（未考虑尖峰电价），出于谨慎性原则，项目暂按差价0.61元/kWh测算。</w:t>
      </w:r>
      <w:r>
        <w:rPr>
          <w:rFonts w:hint="eastAsia" w:ascii="宋体" w:hAnsi="宋体" w:eastAsia="宋体" w:cs="宋体"/>
          <w:snapToGrid/>
          <w:color w:val="auto"/>
          <w:spacing w:val="0"/>
          <w:w w:val="100"/>
          <w:kern w:val="2"/>
          <w:position w:val="0"/>
          <w:sz w:val="28"/>
          <w:szCs w:val="28"/>
          <w:lang w:val="en-US" w:eastAsia="zh-CN" w:bidi="zh-CN"/>
        </w:rPr>
        <w:drawing>
          <wp:inline distT="0" distB="0" distL="0" distR="0">
            <wp:extent cx="5274310" cy="2912745"/>
            <wp:effectExtent l="0" t="0" r="0" b="0"/>
            <wp:docPr id="62" name="picture" descr="descript"/>
            <wp:cNvGraphicFramePr/>
            <a:graphic>
              <a:graphicData uri="http://schemas.openxmlformats.org/drawingml/2006/picture">
                <pic:pic>
                  <pic:nvPicPr>
                    <pic:cNvPr id="63" name="picture" descr="descript"/>
                    <pic:cNvPicPr/>
                  </pic:nvPicPr>
                  <pic:blipFill>
                    <a:blip r:embed="rId26"/>
                    <a:stretch>
                      <a:fillRect/>
                    </a:stretch>
                  </pic:blipFill>
                  <pic:spPr>
                    <a:xfrm>
                      <a:off x="0" y="0"/>
                      <a:ext cx="5274310" cy="291305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default"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则储能峰谷发电收益=日峰值需求量*峰谷价差*年发电天数，贷款存续期间自用收益及经营性收入估算合计为3554.75万元。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3、电动汽车充电桩收入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关于加快电动汽车充电基础设施建设的实施意见》以及《河南省发展改革委转发国家发展改革委关于电动汽车用电价格政策有关问题的通知》：充换电设施经营单位可向电动汽车用户收取电费及充电服务费两项费用。结合新乡市市场价格，目前辖区范围内电动汽车充电服务费按充电的计量单位数(千瓦时)收取，社会车辆充电服务费标准暂定为0.8元/千瓦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设置600kW液冷充电桩5个。项目充电桩所使用电力全部由光伏车棚及储能模块提供，考虑到本项目的服务群体和区位，定价不宜过高，本次充电费用将按照0.35元/度充电电费及0.2元/度充电服务费，合计充电桩使用费为0.55元/千瓦时计算，功率为600kW，利用率按照运营期第0.5年使用系数按50%，第二年按60%，第三年按70%，第四年按80%，第五年按90%，第六年及以后按95%计算。每个充电桩每天工作0.5小时，年使用360天，每小时充电600度。贷款存续期间充电桩收入估算合计为294.03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综上所述，项目12年运营期内总收入为8038.57万元。</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6.2.5 项目成本测算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1、燃料动力费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完成后，本项目经营用电用水自行承担。按实际生产量估算，价格依据现行市场确定，当项目达到设计达产能力100%，年成本费用为2.64万元/年，考虑到储能波谷充电，波峰放电，电池充电每天消耗电能1224kWh，波谷充电成本0.35元/kWh，年消耗电能1224kWh*360*0.35元/kWh=15.42万元。项目运营期内年均燃料动力费成本17.31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2、人员工资与福利成本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本项目编制拟定为4人，主要为运营、维修维护管理人员，平均工资标准为100000元/年，经计算，年均职工薪酬及福利费为38.33万元。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3、保洁维护费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参考市场运维成本，结合项目实际情况，按照年折旧费的8%计取，经计算项目运营期内年均保洁维护费为17.42万元。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4、折旧与摊销</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本项目按直线法计算折旧，本项目主要是光伏设备和储能设备，该设备折旧年限为20年，残值率为5%。项目运营期内年均折旧额为217.76万元。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5、运营及管理费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主要为光伏发电设备、储能系统管理和光伏充电桩等，结合项目实际情况，按照年营业收入2%计取，则项目合计运营及管理费年均为14.01万元。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7、利息支出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项目（一期）申请贷款4200万元，年限为12年，其中建设期0.5年，建设期利息计入总投资，利率为4.50%。运营期内每年还本付息，具体情况见《还本付息表》。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color w:val="auto"/>
          <w:sz w:val="28"/>
          <w:szCs w:val="28"/>
        </w:rPr>
      </w:pPr>
      <w:r>
        <w:rPr>
          <w:rFonts w:hint="eastAsia" w:ascii="宋体" w:hAnsi="宋体" w:eastAsia="宋体" w:cs="宋体"/>
          <w:b/>
          <w:bCs/>
          <w:color w:val="auto"/>
          <w:sz w:val="28"/>
          <w:szCs w:val="28"/>
        </w:rPr>
        <w:t>6.2.6 总投资收益率（ROI）</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总投资收益率（ROI）表示总投资的盈利水平，指项目到达设计能力后正常年份的年息税前利润或运营期内年平均息税前利润（EBIT）与项目总投资（TI）的比率；总投资收益率按照下式计算：</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0" w:firstLineChars="0"/>
        <w:jc w:val="center"/>
        <w:textAlignment w:val="baseline"/>
        <w:rPr>
          <w:color w:val="auto"/>
          <w:sz w:val="28"/>
          <w:szCs w:val="28"/>
        </w:rPr>
      </w:pPr>
      <w:r>
        <w:rPr>
          <w:rFonts w:ascii="宋体" w:hAnsi="宋体" w:eastAsia="宋体" w:cs="宋体"/>
          <w:i w:val="false"/>
          <w:strike w:val="false"/>
          <w:color w:val="auto"/>
          <w:spacing w:val="0"/>
          <w:sz w:val="28"/>
          <w:szCs w:val="28"/>
          <w:u w:val="none"/>
        </w:rPr>
        <w:t>RO</w:t>
      </w:r>
      <w:r>
        <w:rPr>
          <w:rFonts w:hint="eastAsia" w:ascii="宋体" w:hAnsi="宋体" w:eastAsia="宋体" w:cs="宋体"/>
          <w:i w:val="false"/>
          <w:strike w:val="false"/>
          <w:color w:val="auto"/>
          <w:spacing w:val="0"/>
          <w:sz w:val="28"/>
          <w:szCs w:val="28"/>
          <w:u w:val="none"/>
          <w:lang w:val="en-US" w:eastAsia="zh-CN"/>
        </w:rPr>
        <w:t>I</w:t>
      </w:r>
      <w:r>
        <w:rPr>
          <w:rFonts w:ascii="宋体" w:hAnsi="宋体" w:eastAsia="宋体" w:cs="宋体"/>
          <w:i w:val="false"/>
          <w:strike w:val="false"/>
          <w:color w:val="auto"/>
          <w:spacing w:val="0"/>
          <w:sz w:val="28"/>
          <w:szCs w:val="28"/>
          <w:u w:val="none"/>
        </w:rPr>
        <w:t>=EBIT/TI*100%=</w:t>
      </w:r>
      <w:r>
        <w:rPr>
          <w:rFonts w:hint="eastAsia" w:ascii="宋体" w:hAnsi="宋体" w:eastAsia="宋体" w:cs="宋体"/>
          <w:i w:val="false"/>
          <w:strike w:val="false"/>
          <w:color w:val="auto"/>
          <w:spacing w:val="0"/>
          <w:sz w:val="28"/>
          <w:szCs w:val="28"/>
          <w:u w:val="none"/>
        </w:rPr>
        <w:t>5.</w:t>
      </w:r>
      <w:r>
        <w:rPr>
          <w:rFonts w:hint="eastAsia" w:ascii="宋体" w:hAnsi="宋体" w:eastAsia="宋体" w:cs="宋体"/>
          <w:i w:val="false"/>
          <w:strike w:val="false"/>
          <w:color w:val="auto"/>
          <w:spacing w:val="0"/>
          <w:sz w:val="28"/>
          <w:szCs w:val="28"/>
          <w:u w:val="none"/>
          <w:lang w:val="en-US" w:eastAsia="zh-CN"/>
        </w:rPr>
        <w:t>66</w:t>
      </w:r>
      <w:r>
        <w:rPr>
          <w:rFonts w:ascii="宋体" w:hAnsi="宋体" w:eastAsia="宋体" w:cs="宋体"/>
          <w:i w:val="false"/>
          <w:strike w:val="false"/>
          <w:color w:val="auto"/>
          <w:spacing w:val="0"/>
          <w:sz w:val="28"/>
          <w:szCs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式中：EBIT—项目正常年份的年息税前利润或运营期内年平均息税前利润；TI—项目总投资</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6.2.7 资本金净利润率（ROE）</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按照《方法与参数》的规定，资本金净利润率（ROE）表示利润总额占资本金的百分比，这个比值反映了投资者投入企业资本金的获利能力，是一种获利能力的标准性的指标。其计算公式如下：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right="0" w:firstLine="0" w:firstLineChars="0"/>
        <w:jc w:val="center"/>
        <w:textAlignment w:val="baseline"/>
        <w:rPr>
          <w:rFonts w:ascii="宋体" w:hAnsi="宋体" w:eastAsia="宋体" w:cs="宋体"/>
          <w:i w:val="false"/>
          <w:strike w:val="false"/>
          <w:color w:val="000000"/>
          <w:spacing w:val="0"/>
          <w:sz w:val="28"/>
          <w:szCs w:val="28"/>
          <w:u w:val="none"/>
        </w:rPr>
      </w:pPr>
      <w:r>
        <w:rPr>
          <w:rFonts w:ascii="宋体" w:hAnsi="宋体" w:eastAsia="宋体" w:cs="宋体"/>
          <w:i w:val="false"/>
          <w:strike w:val="false"/>
          <w:color w:val="000000"/>
          <w:spacing w:val="0"/>
          <w:sz w:val="28"/>
          <w:szCs w:val="28"/>
          <w:u w:val="none"/>
        </w:rPr>
        <w:t>ROE=NP/EC*100%=</w:t>
      </w:r>
      <w:r>
        <w:rPr>
          <w:rFonts w:hint="eastAsia" w:ascii="宋体" w:hAnsi="宋体" w:eastAsia="宋体" w:cs="宋体"/>
          <w:i w:val="false"/>
          <w:strike w:val="false"/>
          <w:color w:val="000000"/>
          <w:spacing w:val="0"/>
          <w:sz w:val="28"/>
          <w:szCs w:val="28"/>
          <w:u w:val="none"/>
          <w:lang w:val="en-US" w:eastAsia="zh-CN"/>
        </w:rPr>
        <w:t>13.64</w:t>
      </w:r>
      <w:r>
        <w:rPr>
          <w:rFonts w:ascii="宋体" w:hAnsi="宋体" w:eastAsia="宋体" w:cs="宋体"/>
          <w:i w:val="false"/>
          <w:strike w:val="false"/>
          <w:color w:val="000000"/>
          <w:spacing w:val="0"/>
          <w:sz w:val="28"/>
          <w:szCs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其中：NP—项目达到设计生产能力后正常年份的税后净利润或运营期内税后年平均净利润，净利润=利润总额-所得税；EC—项目资本金。</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6.2.8 税后财务内部收益率（FIRR）</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按照《方法与参数》的规定，财务内部收益率（FIRR）系指项目计算期内净现金流量现值累计等于零时的折现率。其计算公式如下：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left="0"/>
        <w:jc w:val="center"/>
        <w:textAlignment w:val="baseline"/>
        <w:rPr>
          <w:color w:val="FF0000"/>
        </w:rPr>
      </w:pPr>
      <w:r>
        <w:rPr>
          <w:color w:val="FF0000"/>
        </w:rPr>
        <w:drawing>
          <wp:inline distT="0" distB="0" distL="0" distR="0">
            <wp:extent cx="2362200" cy="542290"/>
            <wp:effectExtent l="0" t="0" r="0" b="10160"/>
            <wp:docPr id="65" name="picture" descr="descript"/>
            <wp:cNvGraphicFramePr/>
            <a:graphic>
              <a:graphicData uri="http://schemas.openxmlformats.org/drawingml/2006/picture">
                <pic:pic>
                  <pic:nvPicPr>
                    <pic:cNvPr id="66" name="picture" descr="descript"/>
                    <pic:cNvPicPr/>
                  </pic:nvPicPr>
                  <pic:blipFill>
                    <a:blip r:embed="rId27"/>
                    <a:stretch>
                      <a:fillRect/>
                    </a:stretch>
                  </pic:blipFill>
                  <pic:spPr>
                    <a:xfrm>
                      <a:off x="0" y="0"/>
                      <a:ext cx="2362200" cy="54229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式中：CI为现金流入，CO为现金流出，下同。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本项目税后全部投资财务内部收益率（FIRR）计算结果为7.70%。</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6.2.9 税后财务净现值（FNPV）</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按照《方法与参数》的规定，财务净现值（FNPV）系指按设定的折现率（一般采用基准收益率ic）计算项目计算期内各年净现金流量的现值之和。</w:t>
      </w:r>
    </w:p>
    <w:p>
      <w:pPr>
        <w:snapToGrid/>
        <w:spacing w:before="161" w:after="161" w:line="360" w:lineRule="auto"/>
        <w:ind w:left="0"/>
        <w:jc w:val="center"/>
        <w:rPr>
          <w:color w:val="FF0000"/>
        </w:rPr>
      </w:pPr>
      <w:r>
        <w:rPr>
          <w:color w:val="FF0000"/>
        </w:rPr>
        <w:drawing>
          <wp:inline distT="0" distB="0" distL="0" distR="0">
            <wp:extent cx="2514600" cy="457200"/>
            <wp:effectExtent l="0" t="0" r="0" b="0"/>
            <wp:docPr id="68" name="picture" descr="descript"/>
            <wp:cNvGraphicFramePr/>
            <a:graphic>
              <a:graphicData uri="http://schemas.openxmlformats.org/drawingml/2006/picture">
                <pic:pic>
                  <pic:nvPicPr>
                    <pic:cNvPr id="69" name="picture" descr="descript"/>
                    <pic:cNvPicPr/>
                  </pic:nvPicPr>
                  <pic:blipFill>
                    <a:blip r:embed="rId28"/>
                    <a:stretch>
                      <a:fillRect/>
                    </a:stretch>
                  </pic:blipFill>
                  <pic:spPr>
                    <a:xfrm>
                      <a:off x="0" y="0"/>
                      <a:ext cx="2514600" cy="4572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式中Ic为基准收益率，本项目为4.2%。</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本项目税后全部投资财务净现值（FNPV）计算结果为1210.00万元。</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6.2.10 所得税后动态投资回收期（Pt）</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按照《方法与参数》的规定，投资回收期（Pt）系指以项目的净收益回收项目投资所需要的时间。其计算公式如下：</w:t>
      </w:r>
    </w:p>
    <w:p>
      <w:pPr>
        <w:keepNext w:val="false"/>
        <w:keepLines w:val="false"/>
        <w:pageBreakBefore w:val="false"/>
        <w:widowControl w:val="false"/>
        <w:kinsoku/>
        <w:wordWrap/>
        <w:overflowPunct/>
        <w:topLinePunct/>
        <w:autoSpaceDE w:val="false"/>
        <w:autoSpaceDN/>
        <w:bidi w:val="false"/>
        <w:adjustRightInd/>
        <w:snapToGrid/>
        <w:spacing w:before="157" w:beforeLines="50" w:after="28" w:line="360" w:lineRule="auto"/>
        <w:ind w:left="0" w:firstLine="560" w:firstLineChars="200"/>
        <w:jc w:val="center"/>
        <w:textAlignment w:val="baseline"/>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drawing>
          <wp:inline distT="0" distB="0" distL="0" distR="0">
            <wp:extent cx="1447800" cy="533400"/>
            <wp:effectExtent l="0" t="0" r="0" b="0"/>
            <wp:docPr id="71" name="picture" descr="descript"/>
            <wp:cNvGraphicFramePr/>
            <a:graphic>
              <a:graphicData uri="http://schemas.openxmlformats.org/drawingml/2006/picture">
                <pic:pic>
                  <pic:nvPicPr>
                    <pic:cNvPr id="72" name="picture" descr="descript"/>
                    <pic:cNvPicPr/>
                  </pic:nvPicPr>
                  <pic:blipFill>
                    <a:blip r:embed="rId29"/>
                    <a:stretch>
                      <a:fillRect/>
                    </a:stretch>
                  </pic:blipFill>
                  <pic:spPr>
                    <a:xfrm>
                      <a:off x="0" y="0"/>
                      <a:ext cx="1447800" cy="533400"/>
                    </a:xfrm>
                    <a:prstGeom prst="rect">
                      <a:avLst/>
                    </a:prstGeom>
                  </pic:spPr>
                </pic:pic>
              </a:graphicData>
            </a:graphic>
          </wp:inline>
        </w:drawing>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本项目税后投资回收期（Pt）经计算为11.31年（含建设期）。</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6.2.11 盈亏平衡分析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各种不确定性因素的变化会影响投资方案的经济效果，当这些因素的变化达到某一临界值时，就会使方案的损益情况产生质变。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进行盈亏平衡分析，目的是找出该临界值，以判断投资方案对不确定性因素变化的承受能力，旨在为决策提供依据。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盈亏平衡分析是通过盈亏平衡点（BEP）分析项目成本与收益的平衡关系的一种方法。盈亏平衡点通常根据正常年份的经营收入、可变成本、固定成本、价格和税金及附加等数据计算，用项目能力利用率表示。其计算公式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BEP项目能力利用率=年固定成本/（年营业收入-年可变成本-年营业税金及附加）×100％=60.33%</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6.2.12 敏感性分析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本项目主要风险因素包括销售收入、原材料、经营成本、固定资产投资等因素的变化，而投资价值的影响。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基本方案的基本指标，满足了财务基准值的要求，考虑项目实施过程中的一些不确定因素的变化，分别对销售价格、销售量(增减幅度分别为5%、10%、15%、-5%、-10%和-15%)、经营成本、固定资产投资进行单因素分析(增减幅度分别为5%、10%、15%、-5%、-10%和-15%)，销售价格与销售量的变化数值从理论上分析应该是一致的，即单因素变化对内部收益率、投资回收期的影响进行敏感性分析。</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rPr>
          <w:rFonts w:hint="eastAsia" w:ascii="宋体" w:hAnsi="宋体" w:eastAsia="宋体" w:cs="宋体"/>
          <w:b/>
          <w:bCs/>
          <w:sz w:val="28"/>
          <w:szCs w:val="28"/>
        </w:rPr>
      </w:pPr>
      <w:r>
        <w:rPr>
          <w:rFonts w:hint="eastAsia" w:ascii="宋体" w:hAnsi="宋体" w:eastAsia="宋体" w:cs="宋体"/>
          <w:b/>
          <w:bCs/>
          <w:sz w:val="28"/>
          <w:szCs w:val="28"/>
        </w:rPr>
        <w:t>财务敏感性分析表</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1095"/>
        <w:gridCol w:w="990"/>
        <w:gridCol w:w="975"/>
        <w:gridCol w:w="990"/>
        <w:gridCol w:w="975"/>
        <w:gridCol w:w="990"/>
        <w:gridCol w:w="1110"/>
      </w:tblGrid>
      <w:tr>
        <w:trPr>
          <w:trHeight w:val="464"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变动幅度</w:t>
            </w:r>
          </w:p>
        </w:tc>
        <w:tc>
          <w:tcPr>
            <w:tcW w:w="109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0%</w:t>
            </w:r>
          </w:p>
        </w:tc>
        <w:tc>
          <w:tcPr>
            <w:tcW w:w="97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5%</w:t>
            </w:r>
          </w:p>
        </w:tc>
        <w:tc>
          <w:tcPr>
            <w:tcW w:w="99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10%</w:t>
            </w:r>
          </w:p>
        </w:tc>
        <w:tc>
          <w:tcPr>
            <w:tcW w:w="111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15%</w:t>
            </w:r>
          </w:p>
        </w:tc>
      </w:tr>
      <w:tr>
        <w:trPr>
          <w:trHeight w:val="461"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销售收入</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5.</w:t>
            </w:r>
            <w:r>
              <w:rPr>
                <w:rFonts w:hint="eastAsia" w:ascii="宋体" w:hAnsi="宋体" w:eastAsia="宋体" w:cs="宋体"/>
                <w:i w:val="false"/>
                <w:strike w:val="false"/>
                <w:color w:val="auto"/>
                <w:spacing w:val="0"/>
                <w:sz w:val="21"/>
                <w:u w:val="none"/>
                <w:lang w:val="en-US" w:eastAsia="zh-CN"/>
              </w:rPr>
              <w:t>32</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6.</w:t>
            </w:r>
            <w:r>
              <w:rPr>
                <w:rFonts w:hint="eastAsia" w:ascii="宋体" w:hAnsi="宋体" w:eastAsia="宋体" w:cs="宋体"/>
                <w:i w:val="false"/>
                <w:strike w:val="false"/>
                <w:color w:val="auto"/>
                <w:spacing w:val="0"/>
                <w:sz w:val="21"/>
                <w:u w:val="none"/>
                <w:lang w:val="en-US" w:eastAsia="zh-CN"/>
              </w:rPr>
              <w:t>11</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6.91</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70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8.</w:t>
            </w:r>
            <w:r>
              <w:rPr>
                <w:rFonts w:hint="eastAsia" w:ascii="宋体" w:hAnsi="宋体" w:eastAsia="宋体" w:cs="宋体"/>
                <w:i w:val="false"/>
                <w:strike w:val="false"/>
                <w:color w:val="auto"/>
                <w:spacing w:val="0"/>
                <w:sz w:val="21"/>
                <w:u w:val="none"/>
                <w:lang w:val="en-US" w:eastAsia="zh-CN"/>
              </w:rPr>
              <w:t>49</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9.</w:t>
            </w:r>
            <w:r>
              <w:rPr>
                <w:rFonts w:hint="eastAsia" w:ascii="宋体" w:hAnsi="宋体" w:eastAsia="宋体" w:cs="宋体"/>
                <w:i w:val="false"/>
                <w:strike w:val="false"/>
                <w:color w:val="auto"/>
                <w:spacing w:val="0"/>
                <w:sz w:val="21"/>
                <w:u w:val="none"/>
                <w:lang w:val="en-US" w:eastAsia="zh-CN"/>
              </w:rPr>
              <w:t>28</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10.</w:t>
            </w:r>
            <w:r>
              <w:rPr>
                <w:rFonts w:hint="eastAsia" w:ascii="宋体" w:hAnsi="宋体" w:eastAsia="宋体" w:cs="宋体"/>
                <w:i w:val="false"/>
                <w:strike w:val="false"/>
                <w:color w:val="auto"/>
                <w:spacing w:val="0"/>
                <w:sz w:val="21"/>
                <w:u w:val="none"/>
                <w:lang w:val="en-US" w:eastAsia="zh-CN"/>
              </w:rPr>
              <w:t>07</w:t>
            </w:r>
          </w:p>
        </w:tc>
      </w:tr>
      <w:tr>
        <w:trPr>
          <w:trHeight w:val="435"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经营成本</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8.</w:t>
            </w:r>
            <w:r>
              <w:rPr>
                <w:rFonts w:hint="eastAsia" w:ascii="宋体" w:hAnsi="宋体" w:eastAsia="宋体" w:cs="宋体"/>
                <w:i w:val="false"/>
                <w:strike w:val="false"/>
                <w:color w:val="auto"/>
                <w:spacing w:val="0"/>
                <w:sz w:val="21"/>
                <w:u w:val="none"/>
                <w:lang w:val="en-US" w:eastAsia="zh-CN"/>
              </w:rPr>
              <w:t>00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7.90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7.80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pBdr>
                <w:bottom w:val="none" w:color="auto" w:sz="0" w:space="0"/>
              </w:pBdr>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70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60</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5</w:t>
            </w:r>
            <w:r>
              <w:rPr>
                <w:rFonts w:hint="eastAsia" w:ascii="宋体" w:hAnsi="宋体" w:eastAsia="宋体" w:cs="宋体"/>
                <w:i w:val="false"/>
                <w:strike w:val="false"/>
                <w:color w:val="auto"/>
                <w:spacing w:val="0"/>
                <w:sz w:val="21"/>
                <w:u w:val="none"/>
              </w:rPr>
              <w:t>0</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40</w:t>
            </w:r>
          </w:p>
        </w:tc>
      </w:tr>
      <w:tr>
        <w:trPr>
          <w:trHeight w:val="499" w:hRule="atLeast"/>
        </w:trPr>
        <w:tc>
          <w:tcPr>
            <w:tcW w:w="142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color w:val="auto"/>
              </w:rPr>
            </w:pPr>
            <w:r>
              <w:rPr>
                <w:rFonts w:ascii="宋体" w:hAnsi="宋体" w:eastAsia="宋体" w:cs="宋体"/>
                <w:i w:val="false"/>
                <w:strike w:val="false"/>
                <w:color w:val="auto"/>
                <w:spacing w:val="0"/>
                <w:sz w:val="21"/>
                <w:u w:val="none"/>
              </w:rPr>
              <w:t>建安投资</w:t>
            </w:r>
          </w:p>
        </w:tc>
        <w:tc>
          <w:tcPr>
            <w:tcW w:w="109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10.</w:t>
            </w:r>
            <w:r>
              <w:rPr>
                <w:rFonts w:hint="eastAsia" w:ascii="宋体" w:hAnsi="宋体" w:eastAsia="宋体" w:cs="宋体"/>
                <w:i w:val="false"/>
                <w:strike w:val="false"/>
                <w:color w:val="auto"/>
                <w:spacing w:val="0"/>
                <w:sz w:val="21"/>
                <w:u w:val="none"/>
                <w:lang w:val="en-US" w:eastAsia="zh-CN"/>
              </w:rPr>
              <w:t>01</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9.</w:t>
            </w:r>
            <w:r>
              <w:rPr>
                <w:rFonts w:hint="eastAsia" w:ascii="宋体" w:hAnsi="宋体" w:eastAsia="宋体" w:cs="宋体"/>
                <w:i w:val="false"/>
                <w:strike w:val="false"/>
                <w:color w:val="auto"/>
                <w:spacing w:val="0"/>
                <w:sz w:val="21"/>
                <w:u w:val="none"/>
                <w:lang w:val="en-US" w:eastAsia="zh-CN"/>
              </w:rPr>
              <w:t>15</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8.</w:t>
            </w:r>
            <w:r>
              <w:rPr>
                <w:rFonts w:hint="eastAsia" w:ascii="宋体" w:hAnsi="宋体" w:eastAsia="宋体" w:cs="宋体"/>
                <w:i w:val="false"/>
                <w:strike w:val="false"/>
                <w:color w:val="auto"/>
                <w:spacing w:val="0"/>
                <w:sz w:val="21"/>
                <w:u w:val="none"/>
                <w:lang w:val="en-US" w:eastAsia="zh-CN"/>
              </w:rPr>
              <w:t>39</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pBdr>
                <w:bottom w:val="none" w:color="auto" w:sz="0" w:space="0"/>
              </w:pBdr>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70</w:t>
            </w:r>
          </w:p>
        </w:tc>
        <w:tc>
          <w:tcPr>
            <w:tcW w:w="97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rPr>
              <w:t>7.</w:t>
            </w:r>
            <w:r>
              <w:rPr>
                <w:rFonts w:hint="eastAsia" w:ascii="宋体" w:hAnsi="宋体" w:eastAsia="宋体" w:cs="宋体"/>
                <w:i w:val="false"/>
                <w:strike w:val="false"/>
                <w:color w:val="auto"/>
                <w:spacing w:val="0"/>
                <w:sz w:val="21"/>
                <w:u w:val="none"/>
                <w:lang w:val="en-US" w:eastAsia="zh-CN"/>
              </w:rPr>
              <w:t>07</w:t>
            </w:r>
          </w:p>
        </w:tc>
        <w:tc>
          <w:tcPr>
            <w:tcW w:w="99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ascii="宋体" w:hAnsi="宋体" w:eastAsia="宋体" w:cs="宋体"/>
                <w:i w:val="false"/>
                <w:strike w:val="false"/>
                <w:color w:val="auto"/>
                <w:spacing w:val="0"/>
                <w:sz w:val="21"/>
                <w:u w:val="none"/>
              </w:rPr>
            </w:pPr>
            <w:r>
              <w:rPr>
                <w:rFonts w:hint="eastAsia" w:ascii="宋体" w:hAnsi="宋体" w:eastAsia="宋体" w:cs="宋体"/>
                <w:i w:val="false"/>
                <w:strike w:val="false"/>
                <w:color w:val="auto"/>
                <w:spacing w:val="0"/>
                <w:sz w:val="21"/>
                <w:u w:val="none"/>
              </w:rPr>
              <w:t>6.</w:t>
            </w:r>
            <w:r>
              <w:rPr>
                <w:rFonts w:hint="eastAsia" w:ascii="宋体" w:hAnsi="宋体" w:eastAsia="宋体" w:cs="宋体"/>
                <w:i w:val="false"/>
                <w:strike w:val="false"/>
                <w:color w:val="auto"/>
                <w:spacing w:val="0"/>
                <w:sz w:val="21"/>
                <w:u w:val="none"/>
                <w:lang w:val="en-US" w:eastAsia="zh-CN"/>
              </w:rPr>
              <w:t>5</w:t>
            </w:r>
            <w:r>
              <w:rPr>
                <w:rFonts w:hint="eastAsia" w:ascii="宋体" w:hAnsi="宋体" w:eastAsia="宋体" w:cs="宋体"/>
                <w:i w:val="false"/>
                <w:strike w:val="false"/>
                <w:color w:val="auto"/>
                <w:spacing w:val="0"/>
                <w:sz w:val="21"/>
                <w:u w:val="none"/>
              </w:rPr>
              <w:t>1</w:t>
            </w:r>
          </w:p>
        </w:tc>
        <w:tc>
          <w:tcPr>
            <w:tcW w:w="111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rFonts w:hint="default" w:ascii="宋体" w:hAnsi="宋体" w:eastAsia="宋体" w:cs="宋体"/>
                <w:i w:val="false"/>
                <w:strike w:val="false"/>
                <w:color w:val="auto"/>
                <w:spacing w:val="0"/>
                <w:sz w:val="21"/>
                <w:u w:val="none"/>
                <w:lang w:val="en-US" w:eastAsia="zh-CN"/>
              </w:rPr>
            </w:pPr>
            <w:r>
              <w:rPr>
                <w:rFonts w:hint="eastAsia" w:ascii="宋体" w:hAnsi="宋体" w:eastAsia="宋体" w:cs="宋体"/>
                <w:i w:val="false"/>
                <w:strike w:val="false"/>
                <w:color w:val="auto"/>
                <w:spacing w:val="0"/>
                <w:sz w:val="21"/>
                <w:u w:val="none"/>
                <w:lang w:val="en-US" w:eastAsia="zh-CN"/>
              </w:rPr>
              <w:t>5.99</w:t>
            </w:r>
          </w:p>
        </w:tc>
      </w:tr>
    </w:tbl>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该项目具有较强的抗风险能力，但应密切关注光伏、储能电价价格的变化，制定适应市场变化的经营策略；同时注意控制项目的成本费用，降低经营成本。</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84" w:name="_Toc15987"/>
      <w:bookmarkStart w:id="85" w:name="_Toc8749"/>
      <w:bookmarkStart w:id="86" w:name="_Toc16534"/>
      <w:r>
        <w:rPr>
          <w:rFonts w:hint="eastAsia" w:ascii="宋体" w:hAnsi="宋体" w:eastAsia="宋体" w:cs="宋体"/>
          <w:b/>
          <w:bCs/>
          <w:sz w:val="28"/>
          <w:szCs w:val="28"/>
          <w:lang w:val="en-US" w:eastAsia="zh-CN"/>
        </w:rPr>
        <w:t>6.3 资金投入计划和筹措方案</w:t>
      </w:r>
      <w:bookmarkEnd w:id="84"/>
      <w:bookmarkEnd w:id="85"/>
      <w:bookmarkEnd w:id="86"/>
    </w:p>
    <w:p>
      <w:pPr>
        <w:keepNext w:val="false"/>
        <w:keepLines w:val="false"/>
        <w:pageBreakBefore w:val="false"/>
        <w:widowControl w:val="false"/>
        <w:pBdr>
          <w:bottom w:val="none" w:color="auto" w:sz="0" w:space="0"/>
        </w:pBdr>
        <w:wordWrap/>
        <w:overflowPunct/>
        <w:topLinePunct/>
        <w:autoSpaceDE w:val="false"/>
        <w:autoSpaceDN/>
        <w:bidi w:val="false"/>
        <w:snapToGrid/>
        <w:spacing w:before="157" w:beforeLines="50" w:after="157" w:afterLines="50" w:line="360" w:lineRule="auto"/>
        <w:ind w:left="0" w:right="0" w:firstLine="560"/>
        <w:jc w:val="both"/>
        <w:textAlignment w:val="baseline"/>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本项目（一期）总投资5816.94万元，其中固定资产投资5816.94万元，0.5年建设期内均匀投入。</w:t>
      </w:r>
    </w:p>
    <w:p>
      <w:pPr>
        <w:keepNext w:val="false"/>
        <w:keepLines w:val="false"/>
        <w:pageBreakBefore w:val="false"/>
        <w:widowControl w:val="false"/>
        <w:pBdr>
          <w:bottom w:val="none" w:color="auto" w:sz="0" w:space="0"/>
        </w:pBdr>
        <w:wordWrap/>
        <w:overflowPunct/>
        <w:topLinePunct/>
        <w:autoSpaceDE w:val="false"/>
        <w:autoSpaceDN/>
        <w:bidi w:val="false"/>
        <w:snapToGrid/>
        <w:spacing w:before="157" w:beforeLines="50" w:after="157" w:afterLines="50" w:line="360" w:lineRule="auto"/>
        <w:ind w:left="0" w:right="0" w:firstLine="560"/>
        <w:jc w:val="both"/>
        <w:textAlignment w:val="baseline"/>
        <w:rPr>
          <w:rFonts w:hint="eastAsia" w:ascii="宋体" w:hAnsi="宋体" w:eastAsia="宋体" w:cs="宋体"/>
          <w:snapToGrid/>
          <w:color w:val="auto"/>
          <w:spacing w:val="0"/>
          <w:w w:val="100"/>
          <w:kern w:val="2"/>
          <w:position w:val="0"/>
          <w:sz w:val="28"/>
          <w:szCs w:val="28"/>
          <w:lang w:val="en-US" w:eastAsia="zh-CN" w:bidi="zh-CN"/>
        </w:rPr>
      </w:pPr>
      <w:bookmarkStart w:id="87" w:name="_Toc21753"/>
      <w:bookmarkStart w:id="88" w:name="_Toc9143"/>
      <w:r>
        <w:rPr>
          <w:rFonts w:hint="eastAsia" w:ascii="宋体" w:hAnsi="宋体" w:eastAsia="宋体" w:cs="宋体"/>
          <w:snapToGrid/>
          <w:color w:val="auto"/>
          <w:spacing w:val="0"/>
          <w:w w:val="100"/>
          <w:kern w:val="2"/>
          <w:position w:val="0"/>
          <w:sz w:val="28"/>
          <w:szCs w:val="28"/>
          <w:lang w:val="en-US" w:eastAsia="zh-CN" w:bidi="zh-CN"/>
        </w:rPr>
        <w:t>项目总投资由资本金和项目融资或其他债务性资金两部分构成，一是资本金1767.59万元，占总投资的20.16%，二是项目融资、企业自筹资金或者其他债务性资金7000.00万元，占总投资的79.84%。</w:t>
      </w:r>
    </w:p>
    <w:p>
      <w:pPr>
        <w:keepNext w:val="false"/>
        <w:keepLines w:val="false"/>
        <w:pageBreakBefore w:val="false"/>
        <w:widowControl w:val="false"/>
        <w:pBdr>
          <w:bottom w:val="none" w:color="auto" w:sz="0" w:space="0"/>
        </w:pBdr>
        <w:wordWrap/>
        <w:overflowPunct/>
        <w:topLinePunct/>
        <w:autoSpaceDE w:val="false"/>
        <w:autoSpaceDN/>
        <w:bidi w:val="false"/>
        <w:snapToGrid/>
        <w:spacing w:before="157" w:beforeLines="50" w:after="157" w:afterLines="50" w:line="360" w:lineRule="auto"/>
        <w:ind w:left="0" w:right="0" w:firstLine="560"/>
        <w:jc w:val="both"/>
        <w:textAlignment w:val="baseline"/>
        <w:rPr>
          <w:sz w:val="28"/>
          <w:szCs w:val="28"/>
        </w:rPr>
      </w:pPr>
      <w:r>
        <w:rPr>
          <w:rFonts w:hint="eastAsia" w:ascii="宋体" w:hAnsi="宋体" w:eastAsia="宋体" w:cs="宋体"/>
          <w:snapToGrid/>
          <w:color w:val="auto"/>
          <w:spacing w:val="0"/>
          <w:w w:val="100"/>
          <w:kern w:val="2"/>
          <w:position w:val="0"/>
          <w:sz w:val="28"/>
          <w:szCs w:val="28"/>
          <w:lang w:val="en-US" w:eastAsia="zh-CN" w:bidi="zh-CN"/>
        </w:rPr>
        <w:t>其中，项目（一期）资本金1104.18万元，占总投资的20.82%，项目融资、企业自筹资金或者其他债务性资金4200.00万元，占总投资的79.18%</w:t>
      </w:r>
      <w:r>
        <w:rPr>
          <w:rFonts w:ascii="宋体" w:hAnsi="宋体" w:eastAsia="宋体" w:cs="宋体"/>
          <w:i w:val="false"/>
          <w:strike w:val="false"/>
          <w:color w:val="000000"/>
          <w:spacing w:val="0"/>
          <w:w w:val="100"/>
          <w:sz w:val="28"/>
          <w:szCs w:val="28"/>
          <w:u w:val="none"/>
        </w:rPr>
        <w:t>。</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89" w:name="_Toc16074"/>
      <w:r>
        <w:rPr>
          <w:rFonts w:hint="eastAsia" w:ascii="宋体" w:hAnsi="宋体" w:eastAsia="宋体" w:cs="宋体"/>
          <w:b/>
          <w:bCs/>
          <w:sz w:val="28"/>
          <w:szCs w:val="28"/>
          <w:lang w:val="en-US" w:eastAsia="zh-CN"/>
        </w:rPr>
        <w:t>6.4 债务清偿能力分析</w:t>
      </w:r>
      <w:bookmarkEnd w:id="87"/>
      <w:bookmarkEnd w:id="88"/>
      <w:bookmarkEnd w:id="8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通过现金流量表计算可以看出项目计算期各年能收支平衡，并有盈余，有足够大的经营活动净现金流量，表明有足够的现金流量维持正常运营，实现财务可持续性，说明项目财务生存能力强。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FF0000"/>
          <w:spacing w:val="0"/>
          <w:w w:val="100"/>
          <w:kern w:val="2"/>
          <w:position w:val="0"/>
          <w:sz w:val="28"/>
          <w:szCs w:val="28"/>
          <w:lang w:val="en-US" w:eastAsia="zh-CN" w:bidi="zh-CN"/>
        </w:rPr>
      </w:pPr>
      <w:r>
        <w:rPr>
          <w:rFonts w:hint="eastAsia" w:ascii="宋体" w:hAnsi="宋体" w:eastAsia="宋体" w:cs="宋体"/>
          <w:snapToGrid/>
          <w:color w:val="000000"/>
          <w:spacing w:val="0"/>
          <w:w w:val="100"/>
          <w:kern w:val="2"/>
          <w:position w:val="0"/>
          <w:sz w:val="28"/>
          <w:szCs w:val="28"/>
          <w:lang w:val="en-US" w:eastAsia="zh-CN" w:bidi="zh-CN"/>
        </w:rPr>
        <w:t>项目（一期）综合利息备付率5.00，综合偿债备付率1.14，说明企业具有较强的清偿能力。</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textAlignment w:val="baseline"/>
        <w:outlineLvl w:val="1"/>
        <w:rPr>
          <w:rFonts w:hint="eastAsia" w:ascii="宋体" w:hAnsi="宋体" w:eastAsia="宋体" w:cs="宋体"/>
          <w:b/>
          <w:bCs/>
          <w:sz w:val="28"/>
          <w:szCs w:val="28"/>
          <w:lang w:val="en-US" w:eastAsia="zh-CN"/>
        </w:rPr>
      </w:pPr>
      <w:bookmarkStart w:id="90" w:name="_Toc13409"/>
      <w:bookmarkStart w:id="91" w:name="_Toc21961"/>
      <w:bookmarkStart w:id="92" w:name="_Toc15608"/>
      <w:r>
        <w:rPr>
          <w:rFonts w:hint="eastAsia" w:ascii="宋体" w:hAnsi="宋体" w:eastAsia="宋体" w:cs="宋体"/>
          <w:b/>
          <w:bCs/>
          <w:sz w:val="28"/>
          <w:szCs w:val="28"/>
          <w:lang w:val="en-US" w:eastAsia="zh-CN"/>
        </w:rPr>
        <w:t>6.5 财务可持续性分析</w:t>
      </w:r>
      <w:bookmarkEnd w:id="90"/>
      <w:bookmarkEnd w:id="91"/>
      <w:bookmarkEnd w:id="9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对项目从筹建到经营全过程各项评价指标的测算，项目虽然投资较大，但项目建成以后经营效益较好。项目建成后所得税后全部投资财务内部收益率为7.70%，投资回收期为11.31年（含建设期）。项目税后财务内部收益率高于行业基准收益率，各项指标都略高于国内同行业平均水平，项目在财务上是可行的，并且有很强的经济效益和抗风险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综上所述，该项目符合国家的产业政策，经济效益较好，具有一定的抗风险能力，项目可行性强。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93" w:name="_Toc29809"/>
      <w:bookmarkStart w:id="94" w:name="_Toc4400"/>
      <w:bookmarkStart w:id="95" w:name="_Toc4731"/>
      <w:r>
        <w:rPr>
          <w:rFonts w:hint="eastAsia" w:ascii="宋体" w:hAnsi="宋体" w:eastAsia="宋体" w:cs="宋体"/>
          <w:b/>
          <w:bCs/>
          <w:sz w:val="36"/>
          <w:szCs w:val="36"/>
        </w:rPr>
        <w:t>第七章 项目影响效果分析</w:t>
      </w:r>
      <w:bookmarkEnd w:id="93"/>
      <w:bookmarkEnd w:id="94"/>
      <w:bookmarkEnd w:id="95"/>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96" w:name="_Toc968"/>
      <w:bookmarkStart w:id="97" w:name="_Toc18730"/>
      <w:bookmarkStart w:id="98" w:name="_Toc12925"/>
      <w:r>
        <w:rPr>
          <w:rFonts w:hint="eastAsia" w:ascii="宋体" w:hAnsi="宋体" w:eastAsia="宋体" w:cs="宋体"/>
          <w:b/>
          <w:bCs/>
          <w:sz w:val="28"/>
          <w:szCs w:val="28"/>
          <w:lang w:val="en-US" w:eastAsia="zh-CN"/>
        </w:rPr>
        <w:t>7.1 经济影响分析</w:t>
      </w:r>
      <w:bookmarkEnd w:id="96"/>
      <w:bookmarkEnd w:id="97"/>
      <w:bookmarkEnd w:id="98"/>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7.1.1 项目对宏观经济的影响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对宏观经济有着多方面的积极影响。从能源产业发展来看，推动了源网荷储一体化进程，促进了新能源发电、智能电网、储能等领域的技术创新与产业升级，带动上下游相关产业的协同发展，创造了大量就业机会，如新能源设备制造、安装、运维等岗位，提高了劳动力的就业水平与收入。在区域经济增长方面，项目建设期间的大规模投资直接拉动了建材、机械等行业的需求，建成后的稳定运营不仅保障了当地企业的电力供应，降低企业用电成本，提升企业竞争力，间接促进产业集聚与经济活跃度，还通过电力外送等方式增加地方财政收入，助力基础设施建设与公共服务改善，为宏观经济的可持续发展注入新动力，增强经济发展的韧性与稳定性，优化能源结构，减少对传统能源的依赖，在实现节能减排目标的同时，也为应对气候变化做出贡献，提升了经济发展的质量与效益。</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7.1.2 项目对产业经济的影响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1、促进产业升级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实施推动了能源产业从传统的单一能源供应模式向清洁、高效、智能的源网荷储一体化模式转变。新能源发电技术的大规模应用促使能源生产更加绿色可持续，储能技术的引入优化了能源的时空配置，智能电网的建设提升了电力传输与分配的效率和可靠性。这种产业升级不仅发生在能源产业内部，还通过稳定可靠且成本优化的电力供应，带动了工业、制造业等其他产业的技术升级和生产模式变革，促使企业淘汰落后产能，采用更加节能环保和智能化的生产设备与工艺，提升产品附加值和市场竞争力，推动整个产业结构向高端化迈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2、增强区域智能化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过程中大量运用先进的信息技术、物联网技术、大数据分析和人工智能算法，实现了对能源生产、传输、存储和消费各环节的智能化监控与管理。这不仅提升了能源系统的运行效率和安全性，还为区域智能化发展提供了示范和基础支撑。例如，智能电网的建设有助于打造智慧城市的能源基础设施，为智能交通、智能建筑等其他领域的智能化发展提供数据交互和能源保障，促进区域内各产业与信息技术的深度融合，培育智能产业生态，提升区域的整体智能化水平和创新能力，使区域在数字经济时代占据发展先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3、促进就业与人才培养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项目的规划设计、工程建设到运营维护，各个阶段都创造了丰富多样的就业岗位，涵盖能源工程、电力技术、信息技术、项目管理等多个专业领域。这不仅解决了当地部分劳动力的就业问题，还吸引了外部人才流入，为区域人才储备增添活力。同时，项目的长期运营需求促使当地教育机构和培训机构与企业紧密合作，开展针对性的人才培养计划，提升劳动力素质和技能水平，形成人才培养与产业发展的良性互动，为产业经济的持续发展提供坚实的人才保障，也为当地居民提供了更多的职业发展机会和上升通道。</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4、推动上下游产业链协同发展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带动了上下游产业链的繁荣与协同。在新能源发电领域，刺激了光伏组件、风力发电机制造等上游产业的发展，扩大了市场需求，促进企业规模扩张和技术创新；中游的能源存储设备生产、智能电网设备制造等产业也因项目的实施迎来新的发展机遇；下游的能源服务、电力销售等产业得以丰富和拓展，形成了完整且紧密的产业链条。各环节企业之间通过加强合作与技术交流，实现资源共享和优势互补，提高整个产业链的协同效率和市场竞争力，推动产业集群的形成和发展，增强区域产业经济的抗风险能力和可持续发展能力。</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5、改善营商环境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稳定可靠的能源供应是企业生产经营的重要保障，本项目的建成有效解决了县域内企业用电的稳定性和成本问题，降低了企业的运营风险和生产成本，提高了企业的生产效率和盈利能力。这对于吸引更多外部企业投资入驻具有显著的吸引力，同时也有助于本地企业扩大生产规模和进行产业升级，形成良好的产业发展氛围。此外，项目所展现的创新理念和技术应用，提升了县域的科技水平和创新形象，为县域营商环境的优化增添了新的亮点，促进了区域内产业经济的良性循环和可持续发展，使县域在区域经济竞争中脱颖而出，为经济社会的长期繁荣奠定坚实基础。</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7.1.3 项目对区域经济的影响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1、促进资源高效利用，降低企业成本</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通过整合能源的生产、传输、储存和消费环节，实现了对各类能源资源的精细化管理与优化配置。一方面，充分挖掘太阳能、风能等清洁能源的潜力，将其转化为电能并就地消纳，减少了能源在传输过程中的损耗，提高了能源利用效率；另一方面，精准的负荷调控和储能系统的灵活运用，有效平衡了电力供需，避免了能源的浪费。对于区域内的企业而言，稳定且价格合理的电力供应降低了其用电成本，增强了企业的市场竞争力，为企业的扩大再生产和技术创新提供了有力支持，进而提升了区域产业的整体效益和资源利用效率，促进区域经济的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2、推动新能源产业发展，优化能源结构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大力推动了新能源产业在区域内的蓬勃兴起。大规模的新能源发电设施建设带动了光伏、风电等相关产业的投资增长，吸引了上下游企业的集聚，形成了完整的新能源产业链条，从设备制造、安装调试到运营维护，创造了大量的经济附加值和就业岗位。同时，新能源在区域能源结构中的占比不断提高，逐步替代传统化石能源，降低了对外部能源的依赖程度，减少了环境污染，实现了能源供应的多元化和清洁化，为区域经济的绿色发展奠定了坚实基础，提升了区域经济的环境友好性和发展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3、创造就业机会，促进社会稳定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的建设和运营过程涵盖了众多领域和专业，为当地居民提供了丰富多样的就业机会。从项目前期的规划设计、工程建设中的建筑施工、设备安装，到后期的运营管理、维护检修以及能源服务等环节，都需要大量不同技能层次的劳动力，包括技术工人、工程师、管理人员等。这些就业岗位的创造不仅缓解了当地的就业压力，提高了居民的收入水平，而且提升了劳动力素质和就业稳定性，减少了社会不稳定因素，为区域社会的和谐稳定发展做出了重要贡献，为经济发展营造了良好的社会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4、带动整体经济发展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作为区域经济发展的新引擎，通过上述各个方面的积极作用，产生了显著的乘数效应，带动了区域整体经济的繁荣。新能源产业的崛起促进了产业结构的优化升级，吸引了更多的外部投资和人才流入，提升了区域的产业竞争力和创新能力；企业成本的降低增强了企业的盈利能力和发展活力，促使企业加大研发投入和市场拓展力度，进一步拉动了上下游产业的协同发展；就业机会的增加和居民收入的提高带动了消费市场的繁荣，促进了服务业等相关产业的发展，形成了经济发展的良性循环。项目的建设全方位地推动了区域经济在规模扩张、结构优化、质量提升等方面取得显著成效，为区域经济的长期稳定增长提供了坚实保障和强大动力。</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7.1.4 项目建设的经济合理性分析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1、项目实施可以产生较好投资回报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实施具备产生较好投资回报的潜力。一方面，随着能源市场的发展以及对清洁能源需求的持续增长，项目所产生的电力在满足园区企业需求的同时，可通过合理的电力销售策略，如参与电力市场化交易，利用峰谷电价差等方式，实现稳定且可观的收益。另一方面，项目的建设和运营将带动相关产业的发展，例如新能源设备制造、安装、维护以及储能技术研发等领域，这些产业的协同发展不仅能够降低项目的建设与运营成本，还能通过产业附加值的提升进一步增加项目的整体收益。此外，项目的实施过程中，通过优化资源配置和提高能源利用效率，能够有效降低长期运营成本，从而保障项目在经济上的可持续性和盈利能力，为投资者带来满意的回报，吸引更多的资金流入该领域，促进项目的持续优化和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2、项目实施可以产生良好社会效益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项目建设将创造大量直接和间接的就业机会，涵盖工程建设、技术研发、运营管理、能源服务等多个环节，为当地居民提供多样化的就业岗位，提高居民收入水平，缓解就业压力，促进社会稳定与和谐发展。其次，稳定可靠的能源供应将有力支持园区内中小企业的发展，降低企业的用电成本，提升企业的市场竞争力和生产效率，进而带动整个园区产业的繁荣，对地方经济的发展起到积极的推动作用。再者，项目作为清洁能源的示范工程，将提升公众对可再生能源的认知和接受度，促进绿色环保理念的传播，推动社会形成节能减排、绿色发展的良好氛围，具有显著的社会效益和公共价值。</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3、项目建设推动获嘉县可持续发展</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z w:val="28"/>
          <w:szCs w:val="28"/>
        </w:rPr>
      </w:pPr>
      <w:r>
        <w:rPr>
          <w:rFonts w:hint="eastAsia" w:ascii="宋体" w:hAnsi="宋体" w:eastAsia="宋体" w:cs="宋体"/>
          <w:snapToGrid/>
          <w:color w:val="auto"/>
          <w:spacing w:val="0"/>
          <w:w w:val="100"/>
          <w:kern w:val="2"/>
          <w:position w:val="0"/>
          <w:sz w:val="28"/>
          <w:szCs w:val="28"/>
          <w:lang w:val="en-US" w:eastAsia="zh-CN" w:bidi="zh-CN"/>
        </w:rPr>
        <w:t>在能源领域，项目的源网荷储一体化模式将促进当地能源结构的优化升级，减少对传统化石能源的依赖，提高能源供应的稳定性和安全性，降低能源供应过程中的环境风险，为获嘉县的经济发展提供清洁、可持续的能源保障。在产业发展方面，项目将带动新能源及相关产业在当地的集聚和发展，形成完整的产业链条，推动产业结构的调整和升级，培育新的经济增长点，增强获嘉县经济发展的内生动力和抗风险能力。同时，项目的建设和运营过程中所积累的技术经验和人才资源，也将为当地其他产业的发展提供技术支撑和人才储备，促进获嘉县经济、社会与环境的协调可持续发展，为地区的长期繁荣奠定坚实基础。</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99" w:name="_Toc13853"/>
      <w:bookmarkStart w:id="100" w:name="_Toc14234"/>
      <w:bookmarkStart w:id="101" w:name="_Toc32454"/>
      <w:r>
        <w:rPr>
          <w:rFonts w:hint="eastAsia" w:ascii="宋体" w:hAnsi="宋体" w:eastAsia="宋体" w:cs="宋体"/>
          <w:b/>
          <w:bCs/>
          <w:sz w:val="28"/>
          <w:szCs w:val="28"/>
          <w:lang w:val="en-US" w:eastAsia="zh-CN"/>
        </w:rPr>
        <w:t>7.2 社会影响分析</w:t>
      </w:r>
      <w:bookmarkEnd w:id="99"/>
      <w:bookmarkEnd w:id="100"/>
      <w:bookmarkEnd w:id="101"/>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7.2.1 社会影响因素</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1、相关利益者</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直接影响到众多利益相关者群体。对于园区内的中小企业而言，项目的实施将改变其能源供应模式，稳定且价格合理的绿色电力供应有助于降低企业生产成本，提高生产效率和产品竞争力，从而直接影响企业的经济效益和发展前景，增强企业在市场中的生存能力和扩张动力。而对于当地居民来说，项目可能会带来生活环境的改变，如能源基础设施的建设可能会影响周边的居住景观，但同时也期望从项目的发展中获得更好的公共服务和经济福利，例如就业机会的增加和生活用电的稳定保障等。此外，政府作为监管者和推动者，关注项目对地方经济发展、税收贡献以及能源结构优化等方面的作用，希望通过项目实现区域的可持续发展和公共利益的最大化。</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2、就业机会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建设和运营过程将创造大量的就业岗位，涵盖多个领域和不同技能层次。在项目建设阶段，需要大量的建筑工人、设备安装人员和工程技术人员，为当地劳动力市场提供了短期的就业机会，尤其是对于具有一定建筑施工技能的人员来说，能够缓解就业压力并增加收入来源。在长期运营中，能源生产、管理、维护以及相关服务领域将持续吸纳专业技术人才，如电力工程师、储能技术专家、能源管理人员等，这不仅为当地培养和留住了高端技术人才，还为高校相关专业毕业生提供了就业方向，促进了人才的合理流动和就业结构的优化，提升了社会整体的就业质量和人力资源素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3、社会责任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肩负着重要的社会责任。从环境保护角度来看，作为源网荷储一体化项目，其推广清洁能源的应用，减少了对传统化石能源的依赖，降低了碳排放，有助于改善当地空气质量和生态环境，履行了对环境保护的责任，符合社会对可持续发展的追求。同时，项目在建设和运营过程中应注重安全生产，保障员工的生命健康权益，积极参与社区建设和公益事业，如为当地社区提供能源知识普及教育、支持基础设施建设等，通过这些举措回馈社会，提升企业形象和社会声誉，促进项目与社会的和谐共生发展，实现经济、社会和环境效益的有机统一。</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7.2.2 减缓负面社会影响的措施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1、加强环境监测和治理措施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监管加强：引进先进技术和管理手段进行监管；建立环境数据云平台和大数据监测系统，实现精准调度、提高监管能力和生态预警周期。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加强安全管理：严格执行安全生产制度、建立健全安全监管审批、落实风险研判、安全现场考核等措施，确保安全生产。</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社会责任：坚持走可持续发展道路，重视员工安全健康、文化教育事业和社区发展，注重硬件、软件和人才等资源的持续利用与培养。</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02" w:name="_Toc27230"/>
      <w:bookmarkStart w:id="103" w:name="_Toc20797"/>
      <w:bookmarkStart w:id="104" w:name="_Toc11052"/>
      <w:r>
        <w:rPr>
          <w:rFonts w:hint="eastAsia" w:ascii="宋体" w:hAnsi="宋体" w:eastAsia="宋体" w:cs="宋体"/>
          <w:b/>
          <w:bCs/>
          <w:sz w:val="28"/>
          <w:szCs w:val="28"/>
          <w:lang w:val="en-US" w:eastAsia="zh-CN"/>
        </w:rPr>
        <w:t>7.3 生态环境影响分析</w:t>
      </w:r>
      <w:bookmarkEnd w:id="102"/>
      <w:bookmarkEnd w:id="103"/>
      <w:bookmarkEnd w:id="104"/>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7.3.1 建</w:t>
      </w:r>
      <w:r>
        <w:rPr>
          <w:rFonts w:hint="eastAsia" w:ascii="宋体" w:hAnsi="宋体" w:eastAsia="宋体" w:cs="宋体"/>
          <w:b/>
          <w:bCs/>
          <w:sz w:val="28"/>
          <w:szCs w:val="28"/>
          <w:lang w:val="en-US" w:eastAsia="zh-CN"/>
        </w:rPr>
        <w:t>设</w:t>
      </w:r>
      <w:r>
        <w:rPr>
          <w:rFonts w:hint="eastAsia" w:ascii="宋体" w:hAnsi="宋体" w:eastAsia="宋体" w:cs="宋体"/>
          <w:b/>
          <w:bCs/>
          <w:sz w:val="28"/>
          <w:szCs w:val="28"/>
        </w:rPr>
        <w:t>项目所在地的生态环境现状</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 xml:space="preserve"> 本项目通过引入光伏发电及储能服务，积极响应可再生能源的推广，有效减少对传统化石能源的依赖，从而降低温室气体排放和空气污染。</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7.3.2 项目在污染物排放</w:t>
      </w:r>
      <w:r>
        <w:rPr>
          <w:rFonts w:hint="eastAsia" w:ascii="宋体" w:hAnsi="宋体" w:eastAsia="宋体" w:cs="宋体"/>
          <w:b/>
          <w:bCs/>
          <w:sz w:val="28"/>
          <w:szCs w:val="28"/>
          <w:lang w:eastAsia="zh-CN"/>
        </w:rPr>
        <w:t>、</w:t>
      </w:r>
      <w:r>
        <w:rPr>
          <w:rFonts w:hint="eastAsia" w:ascii="宋体" w:hAnsi="宋体" w:eastAsia="宋体" w:cs="宋体"/>
          <w:b/>
          <w:bCs/>
          <w:sz w:val="28"/>
          <w:szCs w:val="28"/>
        </w:rPr>
        <w:t>环境敏感区等方面的影响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jc w:val="both"/>
        <w:textAlignment w:val="baseline"/>
        <w:rPr>
          <w:rFonts w:hint="eastAsia" w:ascii="宋体" w:hAnsi="宋体" w:eastAsia="宋体" w:cs="宋体"/>
          <w:sz w:val="28"/>
          <w:szCs w:val="28"/>
        </w:rPr>
      </w:pPr>
      <w:r>
        <w:rPr>
          <w:rFonts w:hint="eastAsia" w:ascii="宋体" w:hAnsi="宋体" w:eastAsia="宋体" w:cs="宋体"/>
          <w:b/>
          <w:i w:val="false"/>
          <w:strike w:val="false"/>
          <w:color w:val="000000"/>
          <w:spacing w:val="0"/>
          <w:sz w:val="28"/>
          <w:szCs w:val="28"/>
          <w:u w:val="none"/>
          <w:vertAlign w:val="baseline"/>
        </w:rPr>
        <w:t>7.3.2.1 环境保护目标和具体质量标准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遵循可持续发展战略思想，切实保障资源合理开发和利用，保护生态环境，改善周围环境质量，形成生态良性循环。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环境质量标准：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1、项目范围内大气环境质量须达到《环境空气质量标准》（GB3095-2012）的二级标准；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2、根据《声环境质量标准》（GB3096-2008），项目区噪声平均等效声级昼间值≤65dB；夜间值≤55dB；</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3、《声环境质量标准》（GB3096-2008）；</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4、《生活饮用水卫生规范》(GB5749-2006)；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5、《地下水质量标准》（GB/T14848-93）；</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6、《大气污染物综合排放标准》（GB16297-1996）；</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7、《污水排入城镇下水道水质》（CJ343-2010）；</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8、《建筑施工场界环境噪声排放标准》（GB12523-2011）；</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9、《一般工业固体废物贮存、处置场污染控制标准》（GB18599-2001）及其修改单。</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rFonts w:hint="eastAsia" w:ascii="宋体" w:hAnsi="宋体" w:eastAsia="宋体" w:cs="宋体"/>
          <w:sz w:val="28"/>
          <w:szCs w:val="28"/>
        </w:rPr>
      </w:pPr>
      <w:r>
        <w:rPr>
          <w:rFonts w:hint="eastAsia" w:ascii="宋体" w:hAnsi="宋体" w:eastAsia="宋体" w:cs="宋体"/>
          <w:b/>
          <w:i w:val="false"/>
          <w:strike w:val="false"/>
          <w:color w:val="000000"/>
          <w:spacing w:val="0"/>
          <w:sz w:val="28"/>
          <w:szCs w:val="28"/>
          <w:u w:val="none"/>
        </w:rPr>
        <w:t>7.3.2.2</w:t>
      </w:r>
      <w:r>
        <w:rPr>
          <w:rFonts w:hint="eastAsia" w:ascii="宋体" w:hAnsi="宋体" w:eastAsia="宋体" w:cs="宋体"/>
          <w:b/>
          <w:i w:val="false"/>
          <w:strike w:val="false"/>
          <w:color w:val="000000"/>
          <w:spacing w:val="0"/>
          <w:sz w:val="28"/>
          <w:szCs w:val="28"/>
          <w:u w:val="none"/>
          <w:lang w:val="en-US" w:eastAsia="zh-CN"/>
        </w:rPr>
        <w:t xml:space="preserve"> </w:t>
      </w:r>
      <w:r>
        <w:rPr>
          <w:rFonts w:hint="eastAsia" w:ascii="宋体" w:hAnsi="宋体" w:eastAsia="宋体" w:cs="宋体"/>
          <w:b/>
          <w:i w:val="false"/>
          <w:strike w:val="false"/>
          <w:color w:val="000000"/>
          <w:spacing w:val="0"/>
          <w:sz w:val="28"/>
          <w:szCs w:val="28"/>
          <w:u w:val="none"/>
        </w:rPr>
        <w:t>建设期环境影响及治理措施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主要是施工期间对环境的影响，通过采取有效的环保治理措施，对周围环境的影响可降低到最低程度。项目实施后，可取得工程建设和环境整治兼顾的效果，既促进区域社会经济发展，又促进生态环境的改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本项目施工期内，应妥善处理工程建设对周边环境及秩序的影响。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1、对大气环境的影响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现场运输建筑材料的临时施工道路应经常洒水，运送砂石料的运输车辆，用帆布等遮盖，以防物料飞扬，沿途撒漏。混凝土搅拌作业尽量在固定地点封闭进行。施工期间车辆排放的废气会对周围环境产生一定的影响，车辆排出的CO、NOX和HC会使沿线空气质量下降，造成轻度污染，对当地环境有轻微影响。施工单位应使用符合环保标准的施工车辆设备，减少废气排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2、对声环境的影响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工程施工中将使用的施工机械包括大型挖土机、空压机、混凝土搅拌机等高噪声机械，在土方、基础结构等施工阶段各类机械单独或共同作业时产生的噪声与振动影响不容忽视。应采取以下措施：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（1）施工场地布局合理，相对集中固定施工机械并远离环境敏感点。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（2）对噪声振动固定设备采用固定或移动式隔振降噪处理。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（3）避免现场混凝土搅拌作业，采用新技术缩短连续浇筑作业时间。</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（4）尽可能避免高噪声振动设备同时作业。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（5）保障施工场地交通畅通，减缓运输作业引起的噪声影响。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（6）施工现场严格管理，加强环境监测，严格执行环境管理规定。</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加强宣传特别是对现场周边居民，使其充分理解建设工程的重要性，做好相应的环境补偿工作。</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3、固体废弃物影响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施工期固体废弃物主要来自施工过程中开挖的土方和废弃的建筑材料，经集中收集后全部运至城市垃圾处理场妥善堆放，以减少对环境的影响。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4、水土保护的影响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施工中对地表及植被的扰动较大，若土质疏松，在降雨集中季节受雨水的冲刷作用，不可避免地造成一定程度的水土流失，可能会造成局部暂时的沟渠堵塞。因此，需对这些部位注意防范。本工程应注意选择集中取土、弃土位置，尽量做到取土、弃土与城市其他建设相结合。对于道路两侧因施工破坏的其他用地，施工完成后应尽可能地给予人工恢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firstLine="0" w:firstLineChars="0"/>
        <w:jc w:val="both"/>
        <w:textAlignment w:val="baseline"/>
        <w:rPr>
          <w:rFonts w:hint="eastAsia" w:ascii="宋体" w:hAnsi="宋体" w:eastAsia="宋体" w:cs="宋体"/>
          <w:sz w:val="28"/>
          <w:szCs w:val="28"/>
        </w:rPr>
      </w:pPr>
      <w:r>
        <w:rPr>
          <w:rFonts w:hint="eastAsia" w:ascii="宋体" w:hAnsi="宋体" w:eastAsia="宋体" w:cs="宋体"/>
          <w:b/>
          <w:i w:val="false"/>
          <w:strike w:val="false"/>
          <w:color w:val="000000"/>
          <w:spacing w:val="0"/>
          <w:sz w:val="28"/>
          <w:szCs w:val="28"/>
          <w:u w:val="none"/>
        </w:rPr>
        <w:t>7.3.2.3 地质灾害影响分析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该项目所处地段，地势平坦，自然条件较好。交通运输十分便利，拟建项目为管道设备，项目选址所在地的地质情况良好，不存在灾害问题，项目的建设和运营不会诱发地质灾害。</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rFonts w:hint="eastAsia" w:ascii="宋体" w:hAnsi="宋体" w:eastAsia="宋体" w:cs="宋体"/>
          <w:sz w:val="28"/>
          <w:szCs w:val="28"/>
        </w:rPr>
      </w:pPr>
      <w:r>
        <w:rPr>
          <w:rFonts w:hint="eastAsia" w:ascii="宋体" w:hAnsi="宋体" w:eastAsia="宋体" w:cs="宋体"/>
          <w:b/>
          <w:i w:val="false"/>
          <w:strike w:val="false"/>
          <w:color w:val="000000"/>
          <w:spacing w:val="0"/>
          <w:sz w:val="28"/>
          <w:szCs w:val="28"/>
          <w:u w:val="none"/>
        </w:rPr>
        <w:t>7.3.2.4</w:t>
      </w:r>
      <w:r>
        <w:rPr>
          <w:rFonts w:hint="eastAsia" w:ascii="宋体" w:hAnsi="宋体" w:eastAsia="宋体" w:cs="宋体"/>
          <w:b/>
          <w:i w:val="false"/>
          <w:strike w:val="false"/>
          <w:color w:val="000000"/>
          <w:spacing w:val="0"/>
          <w:sz w:val="28"/>
          <w:szCs w:val="28"/>
          <w:u w:val="none"/>
          <w:lang w:val="en-US" w:eastAsia="zh-CN"/>
        </w:rPr>
        <w:t xml:space="preserve"> </w:t>
      </w:r>
      <w:r>
        <w:rPr>
          <w:rFonts w:hint="eastAsia" w:ascii="宋体" w:hAnsi="宋体" w:eastAsia="宋体" w:cs="宋体"/>
          <w:b/>
          <w:i w:val="false"/>
          <w:strike w:val="false"/>
          <w:color w:val="000000"/>
          <w:spacing w:val="0"/>
          <w:sz w:val="28"/>
          <w:szCs w:val="28"/>
          <w:u w:val="none"/>
        </w:rPr>
        <w:t>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项目周围没有历史文化遗产、自然遗产、风景名胜和自然景观等，无特殊环境影响。</w:t>
      </w:r>
    </w:p>
    <w:p>
      <w:pPr>
        <w:keepNext w:val="false"/>
        <w:keepLines w:val="false"/>
        <w:pageBreakBefore w:val="false"/>
        <w:widowControl w:val="false"/>
        <w:kinsoku/>
        <w:wordWrap/>
        <w:overflowPunct/>
        <w:topLinePunct/>
        <w:autoSpaceDE w:val="false"/>
        <w:autoSpaceDN/>
        <w:bidi w:val="false"/>
        <w:adjustRightInd/>
        <w:snapToGrid/>
        <w:spacing w:before="157" w:beforeLines="50" w:after="157" w:afterLines="50" w:line="360" w:lineRule="auto"/>
        <w:ind w:right="0" w:rightChars="0"/>
        <w:jc w:val="both"/>
        <w:textAlignment w:val="baseline"/>
        <w:rPr>
          <w:rFonts w:hint="eastAsia" w:ascii="宋体" w:hAnsi="宋体" w:eastAsia="宋体" w:cs="宋体"/>
          <w:sz w:val="28"/>
          <w:szCs w:val="28"/>
        </w:rPr>
      </w:pPr>
      <w:r>
        <w:rPr>
          <w:rFonts w:hint="eastAsia" w:ascii="宋体" w:hAnsi="宋体" w:eastAsia="宋体" w:cs="宋体"/>
          <w:b/>
          <w:i w:val="false"/>
          <w:strike w:val="false"/>
          <w:color w:val="000000"/>
          <w:spacing w:val="0"/>
          <w:sz w:val="28"/>
          <w:szCs w:val="28"/>
          <w:u w:val="none"/>
        </w:rPr>
        <w:t>7.3.2.5</w:t>
      </w:r>
      <w:r>
        <w:rPr>
          <w:rFonts w:hint="eastAsia" w:ascii="宋体" w:hAnsi="宋体" w:eastAsia="宋体" w:cs="宋体"/>
          <w:b/>
          <w:i w:val="false"/>
          <w:strike w:val="false"/>
          <w:color w:val="000000"/>
          <w:spacing w:val="0"/>
          <w:sz w:val="28"/>
          <w:szCs w:val="28"/>
          <w:u w:val="none"/>
          <w:lang w:val="en-US" w:eastAsia="zh-CN"/>
        </w:rPr>
        <w:t xml:space="preserve"> </w:t>
      </w:r>
      <w:r>
        <w:rPr>
          <w:rFonts w:hint="eastAsia" w:ascii="宋体" w:hAnsi="宋体" w:eastAsia="宋体" w:cs="宋体"/>
          <w:b/>
          <w:i w:val="false"/>
          <w:strike w:val="false"/>
          <w:color w:val="000000"/>
          <w:spacing w:val="0"/>
          <w:sz w:val="28"/>
          <w:szCs w:val="28"/>
          <w:u w:val="none"/>
        </w:rPr>
        <w:t>环境影响分析结论</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在建设期和运营期通过采取适当的污染防治措施对污染物进行妥当处理，可以做到废气、废水、噪声及固体废弃物达标排放；并严格执行环保设施与主体工程同时设计、同时施工、同时投入运行的“三同时”制度，将对环境的影响降到最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因此，从环境保护的角度进行分析，本项目的建设是可行的。</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05" w:name="_Toc12272"/>
      <w:bookmarkStart w:id="106" w:name="_Toc21575"/>
      <w:bookmarkStart w:id="107" w:name="_Toc28583"/>
      <w:r>
        <w:rPr>
          <w:rFonts w:hint="eastAsia" w:ascii="宋体" w:hAnsi="宋体" w:eastAsia="宋体" w:cs="宋体"/>
          <w:b/>
          <w:bCs/>
          <w:sz w:val="28"/>
          <w:szCs w:val="28"/>
          <w:lang w:val="en-US" w:eastAsia="zh-CN"/>
        </w:rPr>
        <w:t>7.4 资源和能源利用效果分析</w:t>
      </w:r>
      <w:bookmarkEnd w:id="105"/>
      <w:bookmarkEnd w:id="106"/>
      <w:bookmarkEnd w:id="107"/>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7.4.1 项目所需消耗的资源品种、数量、来源情况</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本项目是非重要资源项目，项目建设完成后，项目运营方式为光伏电站发电、储能调峰及源网荷储等，项目所消耗能源主要为电力。</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 资源综合利用方案和资源节约措施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节能是国家发展经济的一项长远战略方针。节能是指加强用能管理，采用技术上可行、经济上合理以及环境和社会可以承受的措施，减少从能源生产到消费各个环节中的损失和浪费，更加有效、合理地利用能源，提高能源利用效率和经济效益，以保护环境，保障国民经济和社会的发展，满足人民生活需要。根据项目建设的不同阶段，采取相应的措施进行节能。</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7.4.2.1 电气节能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节能设备的选用及节电控制措施：变压器选用过载能力强、低损耗、低噪音、体积小、维护方便的SCB13干式变压器，并选择合适的装机容量，减少设备本身的能源消耗；对于空调机组等季节性负荷设专用变压器供电；电梯、水泵、风机等设备均采用节能型设备并采取合适的节电控制方案；功率在200kW及以上的电动机采用高压电动机，对大容量交流异步电动机采用恒频变压软启动器启动，改善启动特性；多台电梯集中排列时应具有按规定程序集中调度和控制的群控功能；办公照明采用LED节能灯盘，走道、楼梯间照明及应急照明均采用LED灯光源，办公区域走道、卫生间、楼梯间照明采用人体感应节能自熄开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（2）功率因数的提高及谐波治理：室内外照明灯具均采用高功率因数的电子镇流器；变电所内采用低压集中无功动态补偿装置，补偿后的功率因数大于0.93；变电所设谐波保护装置以抑制系统谐波,提高供电质量。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照度及照明功率密度值的确定选择合理的照度标准，选用合适的光源及高效节能灯具，采用合理的灯具安装方式及照明配电系统，并根据建筑的使用条件和天然采光状况采用合理有效的照明控制装置来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（4）本工程设置的变配电所均靠近每个区域的用电负荷中心，缩短线缆、母线的长度。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（5）多项分级计量：本工程供配电系统采用能源管理系统，对各类型负荷均能实现电能的计量、统计、分析,实现本工程变配电设备自动化监测和管理。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（6）配电线路的选择：通过计算合理地选择导线的截面及线路敷设方案，降低配电线路的损耗；采用单芯电缆组成的供配电回路时，电缆呈品字形敷设以降低线路阻抗。</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本工程在设计中根据地理环境和应用条件，充分考虑自然光、太阳能等新型能源的应用。</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7.4.2.2 节水措施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1、供水系统中，尽量使用节能型阀门、水龙头等产品，做到有效合理用水，减少浪费；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2、经常检查供水系统是否正常，及时堵漏，以杜绝水从地下白白流失；</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3、制定用水、节水相关制度，树立自觉节水、节水人人有责的意识；</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4、提高用水回收率和重复利用率；</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5、卫生间采用节水型设备和器具，如采用感应式阀门，冲水采用自闭式冲水阀等，降低水资源的无效消耗，达到节约用水的目的；</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6、回收雨水作为浇洒绿地用水。</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rPr>
          <w:rFonts w:hint="eastAsia" w:ascii="宋体" w:hAnsi="宋体" w:eastAsia="宋体" w:cs="宋体"/>
          <w:b/>
          <w:bCs/>
          <w:sz w:val="28"/>
          <w:szCs w:val="28"/>
        </w:rPr>
      </w:pPr>
      <w:r>
        <w:rPr>
          <w:rFonts w:hint="eastAsia" w:ascii="宋体" w:hAnsi="宋体" w:eastAsia="宋体" w:cs="宋体"/>
          <w:b/>
          <w:bCs/>
          <w:sz w:val="28"/>
          <w:szCs w:val="28"/>
        </w:rPr>
        <w:t>7.4.2.3 可再生能源利用</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在项目设计和实施过程中，项目单位根据实际情况考虑增加可再生能源利用措施。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从建筑节能角度，利用太阳能不仅可行，而且节能效果明显，这一点从以往的研究和实践中都得到了充分证明，建议生活服务用房采用太阳能热水系统。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太阳能热水系统与建筑节能结合，就是把太阳能热水系统产品作为建筑构件安装，使其与建筑有机结合。同时要有相关的设计、安装、施工与验收标准，从技术标准的高度解决太阳能热水系统与建筑结合问题。这是太阳能热水系统在建筑领域得到广泛应用、促进太阳能产业快速发展的关键。</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2、太阳能路灯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此外，建议项目可考虑室外太阳能光伏电源用于户外路灯、草坪灯的节能项目，与传统路灯相比，太阳能路灯在外观上并没有太多不同，只是每根灯杆上方增加了两块太阳能板，这两块太阳能吸收板，是太阳能路灯的关键所在。太阳能灯白天靠日光发电蓄电，晚上光线暗到一定程度时根据自动感应器决定开灯时间，照明时间为6至8小时，在阴天的情况下，太阳能灯可以连续工作5至6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3、雨水收集处理技术</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为节约用水，建议项目单位考虑对雨水进行收集利用。对雨水进行收集、储存、水质净化，然后回用于绿化、道路广场浇洒、景观用水等。</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雨水回用系统，就是将雨水收集后，按照不同的需求对收集的雨水进行处理后达到符合设计使用标准的系统。是由截污挂篮装置、弃流过滤装置、蓄水系统、净化系统组成。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可设置两套雨水管道，一套为雨水收集回用管道，一套为雨水收集排放管道。屋面雨水经雨水管道收集后，排向室外雨水收集回用管道，经室外初期雨水弃流井完成初期雨水弃流后，进入雨水收集模块池储存并回用。雨水收集回用系统弃流的初期雨水、超过雨水收集系统能力的溢流雨水均由室外雨水收集排放管道收集；雨水收集排放管道收集的雨水，最终排入市政雨水管道。</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08" w:name="_Toc23202"/>
      <w:bookmarkStart w:id="109" w:name="_Toc28750"/>
      <w:bookmarkStart w:id="110" w:name="_Toc3292"/>
      <w:r>
        <w:rPr>
          <w:rFonts w:hint="eastAsia" w:ascii="宋体" w:hAnsi="宋体" w:eastAsia="宋体" w:cs="宋体"/>
          <w:b/>
          <w:bCs/>
          <w:sz w:val="28"/>
          <w:szCs w:val="28"/>
          <w:lang w:val="en-US" w:eastAsia="zh-CN"/>
        </w:rPr>
        <w:t>7.5 碳达峰碳中和分析</w:t>
      </w:r>
      <w:bookmarkEnd w:id="108"/>
      <w:bookmarkEnd w:id="109"/>
      <w:bookmarkEnd w:id="110"/>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的建设与碳达峰碳中和目标紧密相连，具有重要的战略意义和积极影响。在建设过程中，通过大力发展源网荷储一体化系统，优先利用太阳能、风能等清洁能源进行发电，从能源生产源头减少碳排放。智能电网的建设优化了电力传输与分配效率，降低了电网损耗，进一步减少了间接碳排放。储能系统的应用有效平抑了新能源发电的间歇性波动，增强了电力供应的稳定性和可靠性，提高了清洁能源在能源消费结构中的占比，有助于减少对传统化石能源的依赖，从而降低碳排放总量。项目建成后的长期运营，将持续为周边地区提供低碳甚至零碳的电力供应，推动工业、商业及居民生活等领域的能源消费向绿色低碳转型，为区域能源结构的优化升级和碳达峰碳中和目标的实现提供有力支撑，在应对气候变化、推动可持续发展方面发挥关键作用，具有显著的环境效益和社会效益，是迈向绿色低碳未来的重要实践。</w:t>
      </w:r>
    </w:p>
    <w:p>
      <w:pPr>
        <w:rPr>
          <w:rFonts w:ascii="宋体" w:hAnsi="宋体" w:eastAsia="宋体" w:cs="宋体"/>
          <w:b/>
          <w:i w:val="false"/>
          <w:strike w:val="false"/>
          <w:color w:val="000000"/>
          <w:spacing w:val="0"/>
          <w:sz w:val="36"/>
          <w:u w:val="none"/>
          <w:vertAlign w:val="baseline"/>
        </w:rPr>
      </w:pPr>
      <w:r>
        <w:rPr>
          <w:rFonts w:ascii="宋体" w:hAnsi="宋体" w:eastAsia="宋体" w:cs="宋体"/>
          <w:b/>
          <w:i w:val="false"/>
          <w:strike w:val="false"/>
          <w:color w:val="000000"/>
          <w:spacing w:val="0"/>
          <w:sz w:val="36"/>
          <w:u w:val="none"/>
          <w:vertAlign w:val="baseline"/>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11" w:name="_Toc23354"/>
      <w:bookmarkStart w:id="112" w:name="_Toc5060"/>
      <w:bookmarkStart w:id="113" w:name="_Toc24126"/>
      <w:r>
        <w:rPr>
          <w:rFonts w:hint="eastAsia" w:ascii="宋体" w:hAnsi="宋体" w:eastAsia="宋体" w:cs="宋体"/>
          <w:b/>
          <w:bCs/>
          <w:sz w:val="36"/>
          <w:szCs w:val="36"/>
        </w:rPr>
        <w:t>第八章 项目风险管控方案</w:t>
      </w:r>
      <w:bookmarkEnd w:id="111"/>
      <w:bookmarkEnd w:id="112"/>
      <w:bookmarkEnd w:id="113"/>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14" w:name="_Toc16035"/>
      <w:bookmarkStart w:id="115" w:name="_Toc19940"/>
      <w:bookmarkStart w:id="116" w:name="_Toc29768"/>
      <w:r>
        <w:rPr>
          <w:rFonts w:hint="eastAsia" w:ascii="宋体" w:hAnsi="宋体" w:eastAsia="宋体" w:cs="宋体"/>
          <w:b/>
          <w:bCs/>
          <w:sz w:val="28"/>
          <w:szCs w:val="28"/>
          <w:lang w:val="en-US" w:eastAsia="zh-CN"/>
        </w:rPr>
        <w:t>8.1 风险识别与评价</w:t>
      </w:r>
      <w:bookmarkEnd w:id="114"/>
      <w:bookmarkEnd w:id="115"/>
      <w:bookmarkEnd w:id="116"/>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项目风险贯穿于项目建设和运营的全过程。本项目在建设、实施以及运营阶段可能主要存在以下风险：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1、市场风险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首先，电力市场价格波动会对项目收益产生影响，电力价格受能源供需关系、政策调整等因素影响，若价格下跌可能导致项目收入减少。其次，电力需求存在不确定性，经济发展状况、产业结构调整、气候变化等都会使电力需求发生变化，若需求低于预期，会影响项目的能源销售和收益。再者，市场竞争日益激烈，随着源网荷储一体化项目的发展，越来越多的企业参与其中，可能会在能源供应、客户资源等方面形成竞争，若项目竞争力不足，可能会失去市场份额。另外，储能设备成本和技术的变化也会带来风险，成本上升会增加项目投资，而新技术的出现可能使现有储能技术过时，影响项目的长期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投资金额较大，为了确保项目建设资金按时、足额到位；建设单位应做好详细的预算，如果项目资金不能及时到位，将会给项目的顺利进行带来一定程度的风险，同时更需要拓展直接融资渠道，大力发展风险投资，建立适合建设单位融资的资本市场体系。</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3、项目策划及管理风险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策划的风险是指在项目开发阶段的环境调查和分析、项目定义和论证、组织、管理、合同、经济、技术等策划的过程中，在项目实施阶段的环境调查和分析，项目目标分析和再论证，在项目实施的组织、管理、合同、经济和技术策划过程中，由于项目经营人员技术程度低而带来的风险。项目管理风险是指项目在实施和使用的过程中因管理不善而导致项目失败的可能性。主要包括管理方法落后，管理人员综合素质不高以及决策失误等诸多因素可能增加的管理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4、政策风险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随着能源领域的快速发展和国家战略的动态调整，相关政策法规存在变动的可能性。例如，补贴政策的退坡或取消可能会影响项目的收益预期，因为项目前期的投资决策或许部分基于现行补贴机制进行规划。而在行业标准和规范方面，若未来出台更为严格的准入门槛和技术要求，项目可能需要追加投资进行设备升级和技术改造，以满足新的政策规定，否则可能面临限产甚至停产的风险，从而对项目的持续稳定运营构成挑战。</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本项目主要为光伏发电、储能调峰及源网荷储，项目涉及的技术风险较小。</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17" w:name="_Toc31594"/>
      <w:bookmarkStart w:id="118" w:name="_Toc17477"/>
      <w:bookmarkStart w:id="119" w:name="_Toc17416"/>
      <w:r>
        <w:rPr>
          <w:rFonts w:hint="eastAsia" w:ascii="宋体" w:hAnsi="宋体" w:eastAsia="宋体" w:cs="宋体"/>
          <w:b/>
          <w:bCs/>
          <w:sz w:val="28"/>
          <w:szCs w:val="28"/>
          <w:lang w:val="en-US" w:eastAsia="zh-CN"/>
        </w:rPr>
        <w:t>8.2 风险评估</w:t>
      </w:r>
      <w:bookmarkEnd w:id="117"/>
      <w:bookmarkEnd w:id="118"/>
      <w:bookmarkEnd w:id="119"/>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通过分析，本项目的风险的主要因素是市场因素和资金因素及管理风险变化因素等构成。</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由于本项目得到当地政府以及广大群众和相关部门的支持，关于资金、技术、工程方面的风险，均已在项目前期得到了相当的重视，通过政府各部门的有力协调源网荷储一体化等合理措施的制定与实施，可以将这些风险控制在可控范围内，对项目的实施影响程度较小。</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baseline"/>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确保项目顺利实施，建议项目的建设单位及相关部门应高度重视项目的具体操作，一开始就应该建立风险管理机制，确定相关的责任人，协调和监督项目在各阶段的运行情况，协助项目管理者制定各项管理办法，搜集信息，及时反馈，并编制和不断更新各项风险应急预案，在风险出现之前及时采取措施，有效规避风险，保证项目顺利实施。</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jc w:val="center"/>
        <w:textAlignment w:val="baseline"/>
        <w:outlineLvl w:val="9"/>
        <w:rPr>
          <w:rFonts w:hint="eastAsia" w:ascii="宋体" w:hAnsi="宋体" w:eastAsia="宋体" w:cs="宋体"/>
          <w:b/>
          <w:bCs/>
          <w:sz w:val="28"/>
          <w:szCs w:val="28"/>
        </w:rPr>
      </w:pPr>
      <w:r>
        <w:rPr>
          <w:rFonts w:hint="eastAsia" w:ascii="宋体" w:hAnsi="宋体" w:eastAsia="宋体" w:cs="宋体"/>
          <w:b/>
          <w:bCs/>
          <w:sz w:val="28"/>
          <w:szCs w:val="28"/>
        </w:rPr>
        <w:t>表8-1风险因素分析</w:t>
      </w:r>
    </w:p>
    <w:tbl>
      <w:tblPr>
        <w:tblStyle w:val="0000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00"/>
        <w:gridCol w:w="2445"/>
        <w:gridCol w:w="2850"/>
      </w:tblGrid>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风险因素名称</w:t>
            </w:r>
          </w:p>
        </w:tc>
        <w:tc>
          <w:tcPr>
            <w:tcW w:w="2445"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风险程度</w:t>
            </w:r>
          </w:p>
        </w:tc>
        <w:tc>
          <w:tcPr>
            <w:tcW w:w="285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b/>
                <w:i w:val="false"/>
                <w:strike w:val="false"/>
                <w:color w:val="000000"/>
                <w:spacing w:val="0"/>
                <w:sz w:val="21"/>
                <w:u w:val="none"/>
              </w:rPr>
              <w:t>说明</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市场需求及竞争</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资金风险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项目投资额较大</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项目策划与管理风险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项目功能系统复杂</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政策风险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一般</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具有政策优势</w:t>
            </w:r>
          </w:p>
        </w:tc>
      </w:tr>
      <w:tr>
        <w:trPr>
          <w:trHeight w:val="567" w:hRule="atLeast"/>
        </w:trPr>
        <w:tc>
          <w:tcPr>
            <w:tcW w:w="3000" w:type="dxa"/>
            <w:tcBorders>
              <w:top w:val="single" w:color="000000"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技术风险</w:t>
            </w:r>
          </w:p>
        </w:tc>
        <w:tc>
          <w:tcPr>
            <w:tcW w:w="2445"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较小</w:t>
            </w:r>
          </w:p>
        </w:tc>
        <w:tc>
          <w:tcPr>
            <w:tcW w:w="2850" w:type="dxa"/>
            <w:tcBorders>
              <w:top w:val="single" w:color="CBCDD1" w:sz="6" w:space="0"/>
              <w:left w:val="single" w:color="000000" w:sz="6" w:space="0"/>
              <w:bottom w:val="single" w:color="000000" w:sz="6" w:space="0"/>
              <w:right w:val="single" w:color="000000" w:sz="6" w:space="0"/>
            </w:tcBorders>
            <w:tcMar>
              <w:top w:w="0" w:type="dxa"/>
              <w:left w:w="0" w:type="dxa"/>
              <w:bottom w:w="0" w:type="dxa"/>
              <w:right w:w="0" w:type="dxa"/>
            </w:tcMar>
            <w:vAlign w:val="center"/>
          </w:tcPr>
          <w:p>
            <w:pPr>
              <w:widowControl w:val="false"/>
              <w:snapToGrid/>
              <w:spacing w:before="0" w:after="0" w:line="240" w:lineRule="auto"/>
              <w:jc w:val="center"/>
              <w:rPr/>
            </w:pPr>
            <w:r>
              <w:rPr>
                <w:rFonts w:ascii="宋体" w:hAnsi="宋体" w:eastAsia="宋体" w:cs="宋体"/>
                <w:i w:val="false"/>
                <w:strike w:val="false"/>
                <w:color w:val="000000"/>
                <w:spacing w:val="0"/>
                <w:sz w:val="21"/>
                <w:u w:val="none"/>
              </w:rPr>
              <w:t>技术成熟</w:t>
            </w:r>
          </w:p>
        </w:tc>
      </w:tr>
    </w:tbl>
    <w:p>
      <w:pPr>
        <w:keepNext w:val="false"/>
        <w:keepLines w:val="false"/>
        <w:pageBreakBefore w:val="false"/>
        <w:widowControl w:val="false"/>
        <w:kinsoku/>
        <w:wordWrap/>
        <w:overflowPunct/>
        <w:topLinePunct w:val="false"/>
        <w:autoSpaceDE w:val="false"/>
        <w:autoSpaceDN w:val="false"/>
        <w:bidi w:val="false"/>
        <w:adjustRightInd/>
        <w:snapToGrid/>
        <w:spacing w:before="157" w:beforeLines="50" w:after="157" w:afterLines="50" w:line="360" w:lineRule="auto"/>
        <w:ind w:right="0" w:rightChars="0" w:firstLine="420" w:firstLineChars="200"/>
        <w:jc w:val="both"/>
        <w:textAlignment w:val="baseline"/>
        <w:rPr>
          <w:sz w:val="21"/>
          <w:szCs w:val="21"/>
        </w:rPr>
      </w:pPr>
      <w:r>
        <w:rPr>
          <w:rFonts w:ascii="宋体" w:hAnsi="宋体" w:eastAsia="宋体" w:cs="宋体"/>
          <w:i w:val="false"/>
          <w:strike w:val="false"/>
          <w:color w:val="000000"/>
          <w:spacing w:val="0"/>
          <w:sz w:val="21"/>
          <w:szCs w:val="21"/>
          <w:u w:val="none"/>
        </w:rPr>
        <w:t>注：上表把风险程度分为五个档次：微小、较小、一般、较大、重大。</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20" w:name="_Toc17787"/>
      <w:bookmarkStart w:id="121" w:name="_Toc17111"/>
      <w:bookmarkStart w:id="122" w:name="_Toc19938"/>
      <w:r>
        <w:rPr>
          <w:rFonts w:hint="eastAsia" w:ascii="宋体" w:hAnsi="宋体" w:eastAsia="宋体" w:cs="宋体"/>
          <w:b/>
          <w:bCs/>
          <w:sz w:val="28"/>
          <w:szCs w:val="28"/>
          <w:lang w:val="en-US" w:eastAsia="zh-CN"/>
        </w:rPr>
        <w:t>8.3 风险管控方案</w:t>
      </w:r>
      <w:bookmarkEnd w:id="120"/>
      <w:bookmarkEnd w:id="121"/>
      <w:bookmarkEnd w:id="122"/>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项目投资的成功在很大程度上依赖于对风险的认识和管理，及早发现或预测到上述风险并能及时地采取有效的措施，可以化解或缓和、减轻、控制这些风险。本项目控制风险的措施如下：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1、政策风险应对措施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加强项目管理和建设，确保项目建设始终沿着正确的方向进行。</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2、市场风险应对措施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针对市场风险，应做好配套的项目招商引资方案，从项目前期策划就对市场进行详细分析，制定针对性的营销策略，完善软硬件配套设施，增强服务的深度和广度，不断地开拓新的市场份额。</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3、财务风险应对措施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实行严格的资金借贷和运用审批制度，根据项目发展情况和资金市场成本变化，调整资本结构；使投资项目尽快产生效益，提高资产盈利能力，降低投资风险；加强对业务收入、业务支出、日常现金等的管理，在保持较高的流动性的基础上，减少资金占用；加大资本运营的力度，构筑和拓宽畅通的融资渠道，为项目的资金供应建立稳固的渠道，加强对资金运行情况的监控，最大限度地提高资金使用效率；实施财务预决算制度；建立相应的风险预警机制，加强内部管理，严格规章制度，把可能发生的损失降低到最低程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4、管理风险应对措施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制定完善各项管理制度；加强对管理人员组织结构、管理制度、管理方法等方面的内部培训、外部培训，提高其整体素质和经营管理水平；推行目标成本全面管理，加强成本控制；倡导组织创新、思想创新，以适应不断变化的外部环境。设计项目管理运营模式时应本着“严谨、细实”的原则，建立并完善相应的管理体制和内部组织机构，并使之规范运行。不断向同行业其他经营较好的企业学习，不断丰富自身管理经验，逐步提升管理水平。</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5、技术风险应对措施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提高技术水平，开发具有自主知识产权的技术，重视技术方案的咨询论证，就技术方案的可行性进行研究，对项目方案的风险水平与收益水平进行比较，对方案实施后的可能结果进行猜测。应改善内部组织，建立有利于技术创新的生产过程组织。建立健全技术开发的风险预警系统，及时发现技术开发和项目运营过程中的风险隐患。</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6、自然风险应对措施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为避免项目在实施过程中发生意外及其他各种不可抗拒因素给政府造成损失，一方面建议项目单位在财务预算中拨出专款，购买各种保险以规避可能遇到的风险；另一方面建议建设单位建立完善的自然风险预警制度和自然风险应急救援措施。</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23" w:name="_Toc26235"/>
      <w:bookmarkStart w:id="124" w:name="_Toc4480"/>
      <w:bookmarkStart w:id="125" w:name="_Toc30960"/>
      <w:r>
        <w:rPr>
          <w:rFonts w:hint="eastAsia" w:ascii="宋体" w:hAnsi="宋体" w:eastAsia="宋体" w:cs="宋体"/>
          <w:b/>
          <w:bCs/>
          <w:sz w:val="28"/>
          <w:szCs w:val="28"/>
          <w:lang w:val="en-US" w:eastAsia="zh-CN"/>
        </w:rPr>
        <w:t>8.4 重大风险管控应急预案</w:t>
      </w:r>
      <w:bookmarkEnd w:id="123"/>
      <w:bookmarkEnd w:id="124"/>
      <w:bookmarkEnd w:id="125"/>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根据对各种风险因素及风险程度的分析，本项目面临的主要风险已经明确，针对这些风险因素提出如下防范和降低风险的措施：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1、为了使该项目顺利实施，甲方事前做好充分准备，通过多渠道进行融资，利用好各级政府的各项优惠政策，在保证质量的前提下，加快项目实施进度，尽可能规避融资风险。</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2、加强工程的施工管理，提高工程质量，保证施工进度。</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3、加强企业的自身管理，提高监管能力，有效控制工程造价。</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密切关注国家宏观经济政策的变化，加强对影响行业的政策和相关因素的分析研究，及时制定有效的对策，使建设规模和结构适应行业发展和市场供求的趋势，尽可能把政策影响降低到最低水平，确保本项目的顺利实施。</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5、要严格贯彻执行建设和管理的有关法规，加强人员培训，严格技术管理，严把建设过程的每一道关口，确保工程质量稳定可靠。</w:t>
      </w:r>
    </w:p>
    <w:p>
      <w:pPr>
        <w:rPr>
          <w:rFonts w:ascii="宋体" w:hAnsi="宋体" w:eastAsia="宋体" w:cs="宋体"/>
          <w:i w:val="false"/>
          <w:strike w:val="false"/>
          <w:color w:val="000000"/>
          <w:spacing w:val="0"/>
          <w:sz w:val="28"/>
          <w:u w:val="none"/>
        </w:rPr>
      </w:pPr>
      <w:r>
        <w:rPr>
          <w:rFonts w:ascii="宋体" w:hAnsi="宋体" w:eastAsia="宋体" w:cs="宋体"/>
          <w:i w:val="false"/>
          <w:strike w:val="false"/>
          <w:color w:val="000000"/>
          <w:spacing w:val="0"/>
          <w:sz w:val="28"/>
          <w:u w:val="none"/>
        </w:rPr>
        <w:br w:type="page"/>
      </w:r>
    </w:p>
    <w:p>
      <w:pPr>
        <w:keepNext w:val="false"/>
        <w:keepLines w:val="false"/>
        <w:pageBreakBefore w:val="false"/>
        <w:widowControl w:val="false"/>
        <w:kinsoku/>
        <w:wordWrap/>
        <w:overflowPunct/>
        <w:topLinePunct/>
        <w:autoSpaceDE w:val="false"/>
        <w:autoSpaceDN/>
        <w:bidi w:val="false"/>
        <w:adjustRightInd/>
        <w:snapToGrid/>
        <w:spacing w:before="0" w:beforeLines="100" w:after="0" w:afterLines="100" w:line="360" w:lineRule="auto"/>
        <w:jc w:val="center"/>
        <w:textAlignment w:val="baseline"/>
        <w:outlineLvl w:val="0"/>
        <w:rPr>
          <w:rFonts w:hint="eastAsia" w:ascii="宋体" w:hAnsi="宋体" w:eastAsia="宋体" w:cs="宋体"/>
          <w:b/>
          <w:bCs/>
          <w:sz w:val="36"/>
          <w:szCs w:val="36"/>
        </w:rPr>
      </w:pPr>
      <w:bookmarkStart w:id="126" w:name="_Toc17603"/>
      <w:bookmarkStart w:id="127" w:name="_Toc14313"/>
      <w:bookmarkStart w:id="128" w:name="_Toc16934"/>
      <w:r>
        <w:rPr>
          <w:rFonts w:hint="eastAsia" w:ascii="宋体" w:hAnsi="宋体" w:eastAsia="宋体" w:cs="宋体"/>
          <w:b/>
          <w:bCs/>
          <w:sz w:val="36"/>
          <w:szCs w:val="36"/>
        </w:rPr>
        <w:t>第九章 结论和建议</w:t>
      </w:r>
      <w:bookmarkEnd w:id="126"/>
      <w:bookmarkEnd w:id="127"/>
      <w:bookmarkEnd w:id="128"/>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29" w:name="_Toc6270"/>
      <w:bookmarkStart w:id="130" w:name="_Toc18930"/>
      <w:bookmarkStart w:id="131" w:name="_Toc23258"/>
      <w:r>
        <w:rPr>
          <w:rFonts w:hint="eastAsia" w:ascii="宋体" w:hAnsi="宋体" w:eastAsia="宋体" w:cs="宋体"/>
          <w:b/>
          <w:bCs/>
          <w:sz w:val="28"/>
          <w:szCs w:val="28"/>
          <w:lang w:val="en-US" w:eastAsia="zh-CN"/>
        </w:rPr>
        <w:t>9.1 结论</w:t>
      </w:r>
      <w:bookmarkEnd w:id="129"/>
      <w:bookmarkEnd w:id="130"/>
      <w:bookmarkEnd w:id="131"/>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获嘉县作为一个工业+农业蓬勃发展的区域，区域内有着众多大中小企业聚集，在经济下行的大环境下，企业亟需降本增效进行转型升级。在此背景下，本项目的实施显得尤为重要。本项目不仅能够帮助获嘉县中小企业降低经营成本，更通过技术创新与资源整合，显著提升了绿色能源的开发和使用，推动了“双碳”的战略发展进度，促进了当地中小企业转型升级，为获嘉县营造了一个更加优越的投资与营商环境。</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2、本项目建设规模合理，建设条件具备，建设方案可行，投资规模适中，资金来源有保证，具有一定的抗风险能力、良好的经济和社会效益，建议尽快实施早日建成发挥良好的经济效益和社会效益。</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3、本项目的建设是积极顺应供给侧结构性改革大势，大力实施创新驱动战略，努力推动经济发展方式转变和经济结构调整的重要举措。</w:t>
      </w:r>
    </w:p>
    <w:p>
      <w:pPr>
        <w:keepNext w:val="false"/>
        <w:keepLines w:val="false"/>
        <w:pageBreakBefore w:val="false"/>
        <w:widowControl w:val="false"/>
        <w:kinsoku/>
        <w:wordWrap/>
        <w:overflowPunct/>
        <w:topLinePunct/>
        <w:autoSpaceDE w:val="false"/>
        <w:autoSpaceDN/>
        <w:bidi w:val="false"/>
        <w:adjustRightInd/>
        <w:snapToGrid/>
        <w:spacing w:before="0" w:beforeLines="50" w:after="0" w:afterLines="50" w:line="360" w:lineRule="auto"/>
        <w:textAlignment w:val="baseline"/>
        <w:outlineLvl w:val="1"/>
        <w:rPr>
          <w:rFonts w:hint="eastAsia" w:ascii="宋体" w:hAnsi="宋体" w:eastAsia="宋体" w:cs="宋体"/>
          <w:b/>
          <w:bCs/>
          <w:sz w:val="28"/>
          <w:szCs w:val="28"/>
          <w:lang w:val="en-US" w:eastAsia="zh-CN"/>
        </w:rPr>
      </w:pPr>
      <w:bookmarkStart w:id="132" w:name="_Toc31302"/>
      <w:bookmarkStart w:id="133" w:name="_Toc3775"/>
      <w:bookmarkStart w:id="134" w:name="_Toc31084"/>
      <w:r>
        <w:rPr>
          <w:rFonts w:hint="eastAsia" w:ascii="宋体" w:hAnsi="宋体" w:eastAsia="宋体" w:cs="宋体"/>
          <w:b/>
          <w:bCs/>
          <w:sz w:val="28"/>
          <w:szCs w:val="28"/>
          <w:lang w:val="en-US" w:eastAsia="zh-CN"/>
        </w:rPr>
        <w:t>9.2 建议</w:t>
      </w:r>
      <w:bookmarkEnd w:id="132"/>
      <w:bookmarkEnd w:id="133"/>
      <w:bookmarkEnd w:id="134"/>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建议建设单位加快项目的前期工作进程，积极落实建设资金，落实设计及施工单位，尽早开工，保质保量按时完成工程建设，及时投入使用，尽快发挥项目应有的社会效益。同时也建议政府各有关部门积极支持该项目的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1、向地方政府争取相关政策支持和优惠措施，例如税收优惠等。这些政策能够降低项目建设和运营成本，提高投资回报率，吸引更多资金和资源参与到项目中来。</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2、建设项目单位应尽早办理各种手续，抓紧时间落实，做好项目前期工作，并尽早组织开工建设。</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3、水、电、气、通风等设施应积极采用节能、节水、节材并符合环境保护和计量要求的新技术、新设备，电度表、水表等计量设备安装使用前应进行首次强制检测。</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4、建议建设单位通过加强管理来控制工程风险。良好的项目管理是项目取得成功的重要保证。从投资开发来看，项目全过程的投资、进度和质量是控制的重点。</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5、为了尽快实施该项目，应当优化项目管理流程和执行计划。确保项目各阶段的设计、审批、采购和施工能够高效有序地进行，避免因流程烦琐或延迟导致项目推迟。</w:t>
      </w:r>
    </w:p>
    <w:p>
      <w:pPr>
        <w:keepNext w:val="false"/>
        <w:keepLines w:val="false"/>
        <w:pageBreakBefore w:val="false"/>
        <w:widowControl w:val="false"/>
        <w:kinsoku/>
        <w:wordWrap/>
        <w:overflowPunct/>
        <w:topLinePunct/>
        <w:autoSpaceDE w:val="fals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rFonts w:hint="eastAsia" w:ascii="宋体" w:hAnsi="宋体" w:eastAsia="宋体" w:cs="宋体"/>
          <w:snapToGrid/>
          <w:color w:val="auto"/>
          <w:spacing w:val="0"/>
          <w:w w:val="100"/>
          <w:kern w:val="2"/>
          <w:position w:val="0"/>
          <w:sz w:val="28"/>
          <w:szCs w:val="28"/>
          <w:lang w:val="en-US" w:eastAsia="zh-CN" w:bidi="zh-CN"/>
        </w:rPr>
      </w:pPr>
      <w:r>
        <w:rPr>
          <w:rFonts w:hint="eastAsia" w:ascii="宋体" w:hAnsi="宋体" w:eastAsia="宋体" w:cs="宋体"/>
          <w:snapToGrid/>
          <w:color w:val="auto"/>
          <w:spacing w:val="0"/>
          <w:w w:val="100"/>
          <w:kern w:val="2"/>
          <w:position w:val="0"/>
          <w:sz w:val="28"/>
          <w:szCs w:val="28"/>
          <w:lang w:val="en-US" w:eastAsia="zh-CN" w:bidi="zh-CN"/>
        </w:rPr>
        <w:t>6、项目应严格按环保“三同时”原则，搞好环境治理工作。</w:t>
      </w:r>
    </w:p>
    <w:p>
      <w:pPr>
        <w:snapToGrid/>
        <w:spacing w:line="240" w:lineRule="auto"/>
        <w:rPr/>
      </w:pPr>
    </w:p>
    <w:p>
      <w:pPr>
        <w:snapToGrid/>
        <w:spacing w:line="240" w:lineRule="auto"/>
        <w:rPr/>
      </w:pPr>
      <w:r>
        <w:rPr>
          <w:rFonts w:ascii="Arial" w:hAnsi="Arial" w:eastAsia="Arial" w:cs="Arial"/>
          <w:i w:val="false"/>
          <w:strike w:val="false"/>
          <w:color w:val="000000"/>
          <w:sz w:val="21"/>
          <w:u w:val="none"/>
        </w:rPr>
        <w:t> </w:t>
      </w:r>
    </w:p>
    <w:p>
      <w:pPr>
        <w:snapToGrid/>
        <w:spacing w:before="157" w:after="157" w:line="360" w:lineRule="auto"/>
        <w:ind w:right="0" w:rightChars="0" w:firstLine="420" w:firstLineChars="200"/>
        <w:jc w:val="both"/>
        <w:rPr/>
      </w:pPr>
    </w:p>
    <w:p>
      <w:pPr>
        <w:keepNext w:val="false"/>
        <w:keepLines w:val="false"/>
        <w:pageBreakBefore w:val="false"/>
        <w:widowControl w:val="false"/>
        <w:pBdr>
          <w:bottom w:val="none" w:color="auto" w:sz="0" w:space="0"/>
        </w:pBdr>
        <w:kinsoku/>
        <w:wordWrap/>
        <w:overflowPunct/>
        <w:topLinePunct w:val="false"/>
        <w:autoSpaceDE/>
        <w:autoSpaceDN/>
        <w:bidi w:val="false"/>
        <w:adjustRightInd/>
        <w:snapToGrid/>
        <w:spacing w:before="157" w:beforeLines="50" w:beforeAutospacing="false" w:after="157" w:afterLines="50" w:afterAutospacing="false" w:line="360" w:lineRule="auto"/>
        <w:ind w:left="0" w:firstLine="560" w:firstLineChars="200"/>
        <w:jc w:val="both"/>
        <w:textAlignment w:val="auto"/>
        <w:outlineLvl w:val="9"/>
        <w:rPr/>
      </w:pPr>
      <w:r>
        <w:rPr>
          <w:rFonts w:hint="eastAsia" w:ascii="宋体" w:hAnsi="宋体" w:eastAsia="宋体" w:cs="宋体"/>
          <w:snapToGrid/>
          <w:spacing w:val="0"/>
          <w:w w:val="100"/>
          <w:kern w:val="2"/>
          <w:position w:val="0"/>
          <w:sz w:val="28"/>
          <w:szCs w:val="28"/>
          <w:lang w:val="en-US" w:eastAsia="zh-CN" w:bidi="zh-CN"/>
        </w:rPr>
        <w:br w:type="page"/>
      </w:r>
    </w:p>
    <w:p>
      <w:pPr>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35" w:name="_Toc10969"/>
      <w:bookmarkStart w:id="136" w:name="_Toc1013"/>
      <w:bookmarkStart w:id="137" w:name="_Toc21143"/>
      <w:r>
        <w:rPr>
          <w:rFonts w:hint="eastAsia" w:ascii="宋体" w:hAnsi="宋体" w:eastAsia="宋体" w:cs="宋体"/>
          <w:b/>
          <w:bCs/>
          <w:i w:val="false"/>
          <w:iCs w:val="false"/>
          <w:color w:val="auto"/>
          <w:kern w:val="0"/>
          <w:sz w:val="28"/>
          <w:szCs w:val="28"/>
          <w:u w:val="none"/>
          <w:lang w:val="en-US" w:eastAsia="zh-CN"/>
        </w:rPr>
        <w:t>附表1：建设投资估算表</w:t>
      </w:r>
      <w:bookmarkEnd w:id="135"/>
      <w:bookmarkEnd w:id="136"/>
      <w:bookmarkEnd w:id="137"/>
    </w:p>
    <w:tbl>
      <w:tblPr>
        <w:tblStyle w:val="00000a"/>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1"/>
        <w:gridCol w:w="2719"/>
        <w:gridCol w:w="1522"/>
        <w:gridCol w:w="1341"/>
        <w:gridCol w:w="1341"/>
        <w:gridCol w:w="1341"/>
        <w:gridCol w:w="1522"/>
        <w:gridCol w:w="797"/>
        <w:gridCol w:w="1242"/>
        <w:gridCol w:w="1718"/>
      </w:tblGrid>
      <w:tr>
        <w:trPr>
          <w:trHeight w:val="386" w:hRule="atLeast"/>
          <w:tblHeader/>
        </w:trPr>
        <w:tc>
          <w:tcPr>
            <w:tcW w:w="14174" w:type="dxa"/>
            <w:gridSpan w:val="10"/>
            <w:tcBorders>
              <w:top w:val="nil"/>
              <w:left w:val="nil"/>
              <w:bottom w:val="nil"/>
              <w:right w:val="nil"/>
            </w:tcBorders>
            <w:shd w:val="clear" w:color="auto" w:fill="auto"/>
            <w:vAlign w:val="center"/>
          </w:tcPr>
          <w:p>
            <w:pPr>
              <w:keepNext w:val="false"/>
              <w:keepLines w:val="false"/>
              <w:widowControl/>
              <w:suppressLineNumbers w:val="false"/>
              <w:jc w:val="right"/>
              <w:textAlignment w:val="top"/>
              <w:rPr>
                <w:rFonts w:hint="eastAsia" w:ascii="宋体" w:hAnsi="宋体" w:eastAsia="宋体" w:cs="宋体"/>
                <w:i w:val="false"/>
                <w:iCs w:val="false"/>
                <w:color w:val="00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单位：万元</w:t>
            </w:r>
          </w:p>
        </w:tc>
      </w:tr>
      <w:tr>
        <w:trPr>
          <w:trHeight w:val="476" w:hRule="atLeast"/>
          <w:tblHeader/>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序号</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工程或费用名称</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建筑工程费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安装工程费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设备购置费</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其他费用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合计</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单位</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数量</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00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综合单价（万元）</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一</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工程费用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128.27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333.44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4308.60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4770.32</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89.94%</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光伏组件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96.75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160.65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1451.25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1708.65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kW</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5956.00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0.29</w:t>
            </w:r>
          </w:p>
        </w:tc>
      </w:tr>
      <w:tr>
        <w:trPr>
          <w:trHeight w:val="476" w:hRule="atLeast"/>
        </w:trPr>
        <w:tc>
          <w:tcPr>
            <w:tcW w:w="631"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9"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640Wp单晶N型</w:t>
            </w:r>
          </w:p>
        </w:tc>
        <w:tc>
          <w:tcPr>
            <w:tcW w:w="1522"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w:t>
            </w:r>
          </w:p>
        </w:tc>
        <w:tc>
          <w:tcPr>
            <w:tcW w:w="1341" w:type="dxa"/>
            <w:tcBorders>
              <w:top w:val="single" w:color="000000" w:sz="4" w:space="0"/>
              <w:left w:val="single" w:color="000000" w:sz="4" w:space="0"/>
              <w:bottom w:val="nil"/>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882.27</w:t>
            </w:r>
          </w:p>
        </w:tc>
        <w:tc>
          <w:tcPr>
            <w:tcW w:w="797"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块</w:t>
            </w:r>
          </w:p>
        </w:tc>
        <w:tc>
          <w:tcPr>
            <w:tcW w:w="1242"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11168.00</w:t>
            </w:r>
          </w:p>
        </w:tc>
        <w:tc>
          <w:tcPr>
            <w:tcW w:w="1718" w:type="dxa"/>
            <w:tcBorders>
              <w:top w:val="single" w:color="000000" w:sz="4" w:space="0"/>
              <w:left w:val="single" w:color="000000" w:sz="4" w:space="0"/>
              <w:bottom w:val="nil"/>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0.08</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lang w:val="en-US" w:eastAsia="zh-CN"/>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逆变器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57.00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1.42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交流汇流箱</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9.32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9.00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1.04</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光伏支架及配件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157.03</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87.29</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光伏直流电缆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5.50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MC4连接器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套</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610.00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0.02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交流电缆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147.62</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8.10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18.23</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干式变压器（箱变)</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25.26</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20.26</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光伏接入柜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5.13</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5.13</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并网柜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站用变电柜</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10kV动态无功补偿装置</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39.07</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高压电缆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82.51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km</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41.30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土建基础</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96.75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项</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80.25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组件、电气安装、辅材等</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160.65</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kW</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5950.00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0.03</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电池储能集装箱</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2045.40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FF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2175.40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KWH</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17000.00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0.13</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电池系统 5000KWH</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1003.00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1003.00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358.21</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储能变流器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集装箱柜体</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温控系统</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消防系统</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储能EMS</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附件</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22.40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储能箱基础及连接电缆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15KWH换电系统(3000KWH)</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园区配套工程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31.52</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42.79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811.96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0.00</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886.27</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5551.30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0.23</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升压/降压变压器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68.00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中压输电电缆</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22.50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127.50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m</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0.05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绿化等相关配套工程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25.99</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0.32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10kv储能变电站</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5.53</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8.29</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55.28</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1.38</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中心配电室变压器2000KVA</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FF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台</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color w:val="FF0000"/>
                <w:sz w:val="18"/>
                <w:szCs w:val="18"/>
              </w:rPr>
            </w:pPr>
            <w:r>
              <w:rPr>
                <w:rFonts w:hint="eastAsia" w:ascii="宋体" w:hAnsi="宋体" w:eastAsia="宋体" w:cs="宋体"/>
                <w:i w:val="false"/>
                <w:iCs w:val="false"/>
                <w:snapToGrid w:val="false"/>
                <w:color w:val="000000"/>
                <w:kern w:val="0"/>
                <w:sz w:val="18"/>
                <w:szCs w:val="18"/>
                <w:u w:val="none"/>
                <w:lang w:val="en-US" w:eastAsia="zh-CN" w:bidi="ar"/>
              </w:rPr>
              <w:t>25.00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光伏充电桩（600kW液冷）</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550.00</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个</w:t>
            </w: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110</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二</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工程建设其他费用</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236.28</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236.28</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4.45%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建设管理费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建设工程监理费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28.62</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28.62</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建设项目前期工作咨询费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23.85</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工程勘察费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26.17</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屋顶荷载检测费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10.64</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10.64</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工程设计费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47.70</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47.70</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环境影响咨询服务费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4.77</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场地准备费及临时设施费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26.24</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26.24</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工程保险费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13.90</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13.90</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招标代理服务费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16.22</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16.22</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造价咨询费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14.31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14.31</w:t>
            </w:r>
          </w:p>
        </w:tc>
        <w:tc>
          <w:tcPr>
            <w:tcW w:w="7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2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三</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250.33</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250.33</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4.72%</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7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基本预备费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250.33</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250.33</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i w:val="false"/>
                <w:iCs w:val="false"/>
                <w:snapToGrid w:val="false"/>
                <w:color w:val="000000"/>
                <w:kern w:val="0"/>
                <w:sz w:val="18"/>
                <w:szCs w:val="18"/>
                <w:u w:val="none"/>
                <w:lang w:val="en-US" w:eastAsia="zh-CN" w:bidi="ar"/>
              </w:rPr>
              <w:t>（一+二）*5%</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涨价预备费</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snapToGrid w:val="false"/>
                <w:color w:val="000000"/>
                <w:kern w:val="0"/>
                <w:sz w:val="18"/>
                <w:szCs w:val="18"/>
                <w:u w:val="none"/>
                <w:lang w:val="en-US" w:eastAsia="zh-CN" w:bidi="ar"/>
              </w:rPr>
            </w:pP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四</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b/>
                <w:bCs/>
                <w:i w:val="false"/>
                <w:iCs w:val="false"/>
                <w:snapToGrid w:val="false"/>
                <w:color w:val="000000"/>
                <w:kern w:val="0"/>
                <w:sz w:val="18"/>
                <w:szCs w:val="18"/>
                <w:u w:val="none"/>
                <w:lang w:val="en-US" w:eastAsia="zh-CN" w:bidi="ar"/>
              </w:rPr>
              <w:t>建设投资合计</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128.27</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333.44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4308.60</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486.61</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5256.93</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sz w:val="18"/>
                <w:szCs w:val="18"/>
              </w:rPr>
            </w:pPr>
            <w:r>
              <w:rPr>
                <w:rFonts w:hint="eastAsia" w:ascii="宋体" w:hAnsi="宋体" w:eastAsia="宋体" w:cs="宋体"/>
                <w:b/>
                <w:bCs/>
                <w:i w:val="false"/>
                <w:iCs w:val="false"/>
                <w:snapToGrid w:val="false"/>
                <w:color w:val="000000"/>
                <w:kern w:val="0"/>
                <w:sz w:val="18"/>
                <w:szCs w:val="18"/>
                <w:u w:val="none"/>
                <w:lang w:val="en-US" w:eastAsia="zh-CN" w:bidi="ar"/>
              </w:rPr>
              <w:t>99.11%</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false"/>
                <w:iCs w:val="false"/>
                <w:snapToGrid w:val="false"/>
                <w:color w:val="000000"/>
                <w:kern w:val="0"/>
                <w:sz w:val="18"/>
                <w:szCs w:val="18"/>
                <w:u w:val="none"/>
                <w:lang w:val="en-US" w:eastAsia="zh-CN" w:bidi="ar"/>
              </w:rPr>
            </w:pP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比例（%）</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2.44%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6.34%</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81.96%</w:t>
            </w: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9.26%</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FF0000"/>
                <w:sz w:val="18"/>
                <w:szCs w:val="18"/>
                <w:u w:val="none"/>
              </w:rPr>
            </w:pPr>
            <w:r>
              <w:rPr>
                <w:rFonts w:hint="eastAsia" w:ascii="宋体" w:hAnsi="宋体" w:eastAsia="宋体" w:cs="宋体"/>
                <w:i w:val="false"/>
                <w:iCs w:val="false"/>
                <w:snapToGrid w:val="false"/>
                <w:color w:val="000000"/>
                <w:kern w:val="0"/>
                <w:sz w:val="18"/>
                <w:szCs w:val="18"/>
                <w:u w:val="none"/>
                <w:lang w:val="en-US" w:eastAsia="zh-CN" w:bidi="ar"/>
              </w:rPr>
              <w:t>100.00%</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sz w:val="18"/>
                <w:szCs w:val="18"/>
              </w:rPr>
            </w:pP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五</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建设期利息</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47.25</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0.89%</w:t>
            </w:r>
          </w:p>
        </w:tc>
      </w:tr>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六</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固定资产投资</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5304.18</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bookmarkStart w:id="138" w:name="_Toc7389"/>
      <w:bookmarkStart w:id="139" w:name="_Toc13313"/>
      <w:tr>
        <w:trPr>
          <w:trHeight w:val="476" w:hRule="atLeast"/>
        </w:trPr>
        <w:tc>
          <w:tcPr>
            <w:tcW w:w="6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七</w:t>
            </w:r>
          </w:p>
        </w:tc>
        <w:tc>
          <w:tcPr>
            <w:tcW w:w="27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项目总投资</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3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FF0000"/>
                <w:sz w:val="18"/>
                <w:szCs w:val="18"/>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5304.18</w:t>
            </w:r>
          </w:p>
        </w:tc>
        <w:tc>
          <w:tcPr>
            <w:tcW w:w="375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snapToGrid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100.00%</w:t>
            </w:r>
          </w:p>
        </w:tc>
      </w:tr>
    </w:tbl>
    <w:p>
      <w:pPr>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0" w:name="_Toc7071"/>
      <w:r>
        <w:rPr>
          <w:rFonts w:hint="eastAsia" w:ascii="宋体" w:hAnsi="宋体" w:eastAsia="宋体" w:cs="宋体"/>
          <w:b/>
          <w:bCs/>
          <w:i w:val="false"/>
          <w:iCs w:val="false"/>
          <w:color w:val="auto"/>
          <w:kern w:val="0"/>
          <w:sz w:val="28"/>
          <w:szCs w:val="28"/>
          <w:u w:val="none"/>
          <w:lang w:val="en-US" w:eastAsia="zh-CN"/>
        </w:rPr>
        <w:t>附表2：固定资产折旧表</w:t>
      </w:r>
      <w:bookmarkEnd w:id="138"/>
      <w:bookmarkEnd w:id="139"/>
      <w:bookmarkEnd w:id="140"/>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46"/>
        <w:gridCol w:w="960"/>
        <w:gridCol w:w="1378"/>
        <w:gridCol w:w="1378"/>
        <w:gridCol w:w="1378"/>
        <w:gridCol w:w="1378"/>
        <w:gridCol w:w="1378"/>
        <w:gridCol w:w="138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6"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60"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7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507"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46"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60"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37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38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0.05</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20.00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4783.80</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4670.19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4442.96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4215.73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3988.49</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3761.26</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113.62</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4670.19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4442.96</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4215.73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3988.49</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3761.26</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3534.03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113.62</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附表2：固定资产折旧表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2"/>
        <w:gridCol w:w="1802"/>
        <w:gridCol w:w="1272"/>
        <w:gridCol w:w="991"/>
        <w:gridCol w:w="975"/>
        <w:gridCol w:w="1368"/>
        <w:gridCol w:w="1368"/>
        <w:gridCol w:w="1368"/>
        <w:gridCol w:w="1368"/>
        <w:gridCol w:w="1368"/>
        <w:gridCol w:w="1371"/>
      </w:tblGrid>
      <w:tr>
        <w:trPr>
          <w:trHeight w:val="270" w:hRule="atLeast"/>
        </w:trPr>
        <w:tc>
          <w:tcPr>
            <w:tcW w:w="13993" w:type="dxa"/>
            <w:gridSpan w:val="11"/>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sz w:val="21"/>
                <w:szCs w:val="21"/>
                <w:u w:val="none"/>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74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180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72"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91"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残值率</w:t>
            </w:r>
          </w:p>
        </w:tc>
        <w:tc>
          <w:tcPr>
            <w:tcW w:w="975" w:type="dxa"/>
            <w:vMerge w:val="restart"/>
            <w:tcBorders>
              <w:top w:val="single" w:color="000000" w:sz="4" w:space="0"/>
              <w:left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折旧年限</w:t>
            </w:r>
          </w:p>
        </w:tc>
        <w:tc>
          <w:tcPr>
            <w:tcW w:w="8211"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62" w:hRule="atLeast"/>
        </w:trPr>
        <w:tc>
          <w:tcPr>
            <w:tcW w:w="74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80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272"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vMerge w:val="continue"/>
            <w:tcBorders>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368"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371" w:type="dxa"/>
            <w:tcBorders>
              <w:top w:val="nil"/>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附属物及设备折旧</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0.05</w:t>
            </w: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3534.03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3306.80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3079.57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2852.34</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2625.11</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2397.88</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3306.80</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3079.57</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2852.34</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2625.11</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2397.88</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2170.65</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无形资产摊销</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原值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当期折旧额</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w:t>
            </w:r>
          </w:p>
        </w:tc>
        <w:tc>
          <w:tcPr>
            <w:tcW w:w="1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净值</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3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bl>
    <w:p>
      <w:pPr>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1" w:name="_Toc16695"/>
      <w:bookmarkStart w:id="142" w:name="_Toc10373"/>
      <w:bookmarkStart w:id="143" w:name="_Toc10595"/>
      <w:r>
        <w:rPr>
          <w:rFonts w:hint="eastAsia" w:ascii="宋体" w:hAnsi="宋体" w:eastAsia="宋体" w:cs="宋体"/>
          <w:b/>
          <w:bCs/>
          <w:i w:val="false"/>
          <w:iCs w:val="false"/>
          <w:color w:val="auto"/>
          <w:kern w:val="0"/>
          <w:sz w:val="28"/>
          <w:szCs w:val="28"/>
          <w:u w:val="none"/>
          <w:lang w:val="en-US" w:eastAsia="zh-CN"/>
        </w:rPr>
        <w:t>附表3：营业收入及税金表</w:t>
      </w:r>
      <w:bookmarkEnd w:id="141"/>
      <w:bookmarkEnd w:id="142"/>
      <w:bookmarkEnd w:id="143"/>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7"/>
        <w:gridCol w:w="229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9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8038.57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364.59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730.52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731.88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733.24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734.61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734.50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403.59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401.98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398.77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397.17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5896.44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5872.85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5849.36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5825.97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5802.66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5779.45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3554.75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154.55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产能利用率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放电使用率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294.03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17.82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20.79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23.76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26.73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103.85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9.07</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6.35</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2.72</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90.59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90.69</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94.25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94.43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94.36</w:t>
            </w:r>
          </w:p>
        </w:tc>
      </w:tr>
      <w:tr>
        <w:trPr>
          <w:trHeight w:val="420" w:hRule="atLeast"/>
        </w:trPr>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2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附表3：营业收入及税金表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2535"/>
        <w:gridCol w:w="1170"/>
        <w:gridCol w:w="1593"/>
        <w:gridCol w:w="1593"/>
        <w:gridCol w:w="1593"/>
        <w:gridCol w:w="1593"/>
        <w:gridCol w:w="1593"/>
        <w:gridCol w:w="1596"/>
      </w:tblGrid>
      <w:tr>
        <w:trPr>
          <w:trHeight w:val="501"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5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6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5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8038.57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732.91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731.33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729.75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728.18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726.62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725.06</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光伏收入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4351.77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395.58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394.00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392.43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390.86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389.29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387.74</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装机容量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5756.33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5733.31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5710.37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5687.53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5664.78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5642.12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衰减值</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0.40%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1kW 光伏装机容量平均日发电量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年发电天数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工商业用电平均电价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0.57</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储能收入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3554.75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309.11</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产能利用率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val="false"/>
                <w:bCs w:val="false"/>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放电使用率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峰谷价差加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0.61</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360天一充一放扣能耗（万kwh/n)</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17000.00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600kW充电桩收入</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294.03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28.22</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充电桩数量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充电使用率</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收费标准</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充电桩每小时充电量</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充电小时数</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0.50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年运营时间</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360.00</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营业税金与附加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103.85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9.01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8.99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8.97</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snapToGrid w:val="false"/>
                <w:color w:val="000000"/>
                <w:kern w:val="0"/>
                <w:sz w:val="18"/>
                <w:szCs w:val="18"/>
                <w:u w:val="none"/>
                <w:lang w:val="en-US" w:eastAsia="zh-CN" w:bidi="ar"/>
              </w:rPr>
              <w:t>8.95</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消费税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false"/>
                <w:iCs w:val="false"/>
                <w:color w:val="000000"/>
                <w:kern w:val="0"/>
                <w:sz w:val="18"/>
                <w:szCs w:val="18"/>
                <w:u w:val="none"/>
                <w:lang w:val="en-US" w:eastAsia="zh-CN" w:bidi="ar"/>
              </w:rPr>
            </w:pP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城市建设维护税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6.31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6.29</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6.26</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教育费附加</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31.16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2.71</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2.69</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90.48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90.28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89.88</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89.68</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89.48</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销项税额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1080.65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94.15</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93.94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93.74</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93.53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93.33</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93.13</w:t>
            </w:r>
          </w:p>
        </w:tc>
      </w:tr>
      <w:tr>
        <w:trPr>
          <w:trHeight w:val="420"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w:t>
            </w:r>
          </w:p>
        </w:tc>
        <w:tc>
          <w:tcPr>
            <w:tcW w:w="25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进项税额</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42.13</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59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3.66</w:t>
            </w:r>
          </w:p>
        </w:tc>
        <w:tc>
          <w:tcPr>
            <w:tcW w:w="15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3.65</w:t>
            </w: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4" w:name="_Toc27140"/>
      <w:bookmarkStart w:id="145" w:name="_Toc6072"/>
      <w:bookmarkStart w:id="146" w:name="_Toc21044"/>
      <w:r>
        <w:rPr>
          <w:rFonts w:hint="eastAsia" w:ascii="宋体" w:hAnsi="宋体" w:eastAsia="宋体" w:cs="宋体"/>
          <w:b/>
          <w:bCs/>
          <w:i w:val="false"/>
          <w:iCs w:val="false"/>
          <w:color w:val="auto"/>
          <w:kern w:val="0"/>
          <w:sz w:val="28"/>
          <w:szCs w:val="28"/>
          <w:u w:val="none"/>
          <w:lang w:val="en-US" w:eastAsia="zh-CN"/>
        </w:rPr>
        <w:t>附表4：总成本费用表</w:t>
      </w:r>
      <w:bookmarkEnd w:id="144"/>
      <w:bookmarkEnd w:id="145"/>
      <w:bookmarkEnd w:id="146"/>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169"/>
        <w:gridCol w:w="1588"/>
        <w:gridCol w:w="1588"/>
        <w:gridCol w:w="1588"/>
        <w:gridCol w:w="1588"/>
        <w:gridCol w:w="1588"/>
        <w:gridCol w:w="159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5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207.70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460.00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209.05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168.06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7.29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14.69</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14.69</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1044.81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45.39</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90.91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90.93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90.93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113.62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1196.55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176.40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163.35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149.63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135.45</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120.38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4854.51</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251.93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494.48</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481.46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467.76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453.61</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438.54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3977.76</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213.83</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418.24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405.22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391.52</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377.37</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362.30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876.75</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38.10</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r>
    </w:tbl>
    <w:p>
      <w:pPr>
        <w:rPr>
          <w:rFonts w:hint="eastAsia" w:ascii="宋体" w:hAnsi="宋体" w:eastAsia="宋体" w:cs="宋体"/>
          <w:b/>
          <w:bCs/>
          <w:lang w:val="en-US" w:eastAsia="zh-CN"/>
        </w:rPr>
      </w:pPr>
      <w:bookmarkStart w:id="147" w:name="_Toc32655"/>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附表4：总成本费用表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
        <w:gridCol w:w="2461"/>
        <w:gridCol w:w="1214"/>
        <w:gridCol w:w="1581"/>
        <w:gridCol w:w="1581"/>
        <w:gridCol w:w="1581"/>
        <w:gridCol w:w="1581"/>
        <w:gridCol w:w="1581"/>
        <w:gridCol w:w="1581"/>
      </w:tblGrid>
      <w:tr>
        <w:trPr>
          <w:trHeight w:val="42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单位：万元</w:t>
            </w:r>
          </w:p>
        </w:tc>
      </w:tr>
      <w:tr>
        <w:trPr>
          <w:trHeight w:val="420" w:hRule="atLeast"/>
          <w:tblHeader/>
        </w:trPr>
        <w:tc>
          <w:tcPr>
            <w:tcW w:w="8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4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项目</w:t>
            </w:r>
          </w:p>
        </w:tc>
        <w:tc>
          <w:tcPr>
            <w:tcW w:w="12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48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8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4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7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8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9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10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11 </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 xml:space="preserve">12 </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外购燃料及动力费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207.70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18.06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工资及福利费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460.00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40.00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保洁维护费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209.05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18.18</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管理费及其他</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168.06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14.63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14.59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14.56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14.53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14.50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经营成本（1+2+3+4+5+6）</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1044.81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90.90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90.80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90.77</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90.74</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折旧费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2613.15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227.23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摊销费</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利息支出</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1196.55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104.18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87.30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69.75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50.85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30.83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15.53</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总成本费用合计（6+7+8+9）</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4854.51</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422.30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405.40</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387.82</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368.89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348.83</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333.50</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其中：固定成本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3977.76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346.06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329.16</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311.58</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292.64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272.59</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257.26</w:t>
            </w:r>
          </w:p>
        </w:tc>
      </w:tr>
      <w:tr>
        <w:trPr>
          <w:trHeight w:val="420" w:hRule="atLeast"/>
        </w:trPr>
        <w:tc>
          <w:tcPr>
            <w:tcW w:w="80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9.2</w:t>
            </w:r>
          </w:p>
        </w:tc>
        <w:tc>
          <w:tcPr>
            <w:tcW w:w="24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可变成本</w:t>
            </w:r>
          </w:p>
        </w:tc>
        <w:tc>
          <w:tcPr>
            <w:tcW w:w="12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876.75</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c>
          <w:tcPr>
            <w:tcW w:w="158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76.24</w:t>
            </w:r>
          </w:p>
        </w:tc>
      </w:tr>
    </w:tbl>
    <w:p>
      <w:pPr>
        <w:ind w:left="0" w:leftChars="0" w:firstLine="0" w:firstLineChars="0"/>
        <w:rPr>
          <w:rFonts w:hint="eastAsia" w:ascii="宋体" w:hAnsi="宋体" w:eastAsia="宋体" w:cs="宋体"/>
          <w:b/>
          <w:bCs/>
          <w:lang w:val="en-US" w:eastAsia="zh-CN"/>
        </w:rPr>
      </w:pPr>
      <w:r>
        <w:rPr>
          <w:rFonts w:hint="eastAsia" w:ascii="宋体" w:hAnsi="宋体" w:eastAsia="宋体" w:cs="宋体"/>
          <w:b/>
          <w:bCs/>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48" w:name="_Toc3902"/>
      <w:bookmarkStart w:id="149" w:name="_Toc31574"/>
      <w:r>
        <w:rPr>
          <w:rFonts w:hint="eastAsia" w:ascii="宋体" w:hAnsi="宋体" w:eastAsia="宋体" w:cs="宋体"/>
          <w:b/>
          <w:bCs/>
          <w:i w:val="false"/>
          <w:iCs w:val="false"/>
          <w:color w:val="auto"/>
          <w:kern w:val="0"/>
          <w:sz w:val="28"/>
          <w:szCs w:val="28"/>
          <w:u w:val="none"/>
          <w:lang w:val="en-US" w:eastAsia="zh-CN"/>
        </w:rPr>
        <w:t>附表5：利润及利润分配表</w:t>
      </w:r>
      <w:bookmarkEnd w:id="147"/>
      <w:bookmarkEnd w:id="148"/>
      <w:bookmarkEnd w:id="149"/>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eastAsia" w:ascii="宋体" w:hAnsi="宋体" w:cs="宋体"/>
                <w:b/>
                <w:bCs/>
                <w:i w:val="false"/>
                <w:iCs w:val="false"/>
                <w:color w:val="000000"/>
                <w:kern w:val="0"/>
                <w:sz w:val="18"/>
                <w:szCs w:val="18"/>
                <w:u w:val="none"/>
                <w:lang w:val="en-US" w:eastAsia="zh-CN" w:bidi="ar"/>
              </w:rPr>
              <w:t>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8403.16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730.52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731.88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733.24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734.50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4854.51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251.93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494.48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481.46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467.76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453.61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438.54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2406.27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196.21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2406.27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136.39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150.71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165.70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181.16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196.21</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601.57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49.05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113.03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135.87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147.15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7204.27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470.35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9008.97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144.72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247.52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483.93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617.50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8828.50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602.78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32"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8828.50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134.49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236.21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470.35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602.78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312.79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314.06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315.33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316.61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316.58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6215.97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269.39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540.02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541.29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542.56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543.81</w:t>
            </w:r>
          </w:p>
        </w:tc>
      </w:tr>
    </w:tbl>
    <w:p>
      <w:pPr>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附表5：利润及利润分配表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32"/>
        <w:gridCol w:w="3015"/>
        <w:gridCol w:w="1440"/>
        <w:gridCol w:w="1446"/>
        <w:gridCol w:w="1446"/>
        <w:gridCol w:w="1446"/>
        <w:gridCol w:w="1446"/>
        <w:gridCol w:w="1446"/>
        <w:gridCol w:w="1446"/>
      </w:tblGrid>
      <w:tr>
        <w:trPr>
          <w:trHeight w:val="270" w:hRule="atLeast"/>
          <w:tblHeader/>
        </w:trPr>
        <w:tc>
          <w:tcPr>
            <w:tcW w:w="1396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30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86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运营期</w:t>
            </w:r>
          </w:p>
        </w:tc>
      </w:tr>
      <w:tr>
        <w:trPr>
          <w:trHeight w:val="420" w:hRule="atLeast"/>
          <w:tblHeader/>
        </w:trPr>
        <w:tc>
          <w:tcPr>
            <w:tcW w:w="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30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default"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8403.16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732.91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731.33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729.75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728.18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726.62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725.06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90.08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89.88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89.68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89.48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总成本费用</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4854.51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422.30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405.40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387.82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368.89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348.83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333.50</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补贴收入</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利润总额（1-2-3+4）</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2406.27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211.07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226.62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260.43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279.14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293.14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弥补以前年度亏损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应纳税所得额（5-6）</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2406.27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211.07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226.62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242.85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260.43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279.14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293.14</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601.57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52.77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56.66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60.71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65.11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69.79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73.28</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净利润（5-8）</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1804.70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158.30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169.97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182.14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195.32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209.36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219.85</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期初未分配利润</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7204.27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602.78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745.26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898.23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1062.15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1237.94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1426.36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可供分配的利润（9+10）</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9008.97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761.09</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915.22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1080.36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1257.47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1447.30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1646.22</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提取法定盈余公积金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180.47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15.83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17.00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18.21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19.53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20.94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21.99</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可供投资者分配的利润（11-12）</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8828.50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745.26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898.23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1062.15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1237.94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1426.36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1624.23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应付优先股股利</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提取任意盈余公积金</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应付普通股股利（13-14-15）</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各投资方利润分配</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未分配利润（13-14-15-17）</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8828.50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745.26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898.23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1062.15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1237.94</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1426.36</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1624.23</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息税前利润（利润总额+利息支出）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3602.82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315.25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313.92</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312.60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311.28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309.97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308.66</w:t>
            </w:r>
          </w:p>
        </w:tc>
      </w:tr>
      <w:tr>
        <w:trPr>
          <w:trHeight w:val="420" w:hRule="atLeast"/>
        </w:trPr>
        <w:tc>
          <w:tcPr>
            <w:tcW w:w="8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w:t>
            </w:r>
          </w:p>
        </w:tc>
        <w:tc>
          <w:tcPr>
            <w:tcW w:w="30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息税折旧摊销前利润（息税前利润+折旧+摊销）</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6215.97</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542.48</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541.15</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539.83</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538.51</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537.20</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535.89</w:t>
            </w:r>
          </w:p>
        </w:tc>
      </w:tr>
    </w:tbl>
    <w:p>
      <w:pPr>
        <w:keepNext w:val="false"/>
        <w:keepLines w:val="false"/>
        <w:pageBreakBefore w:val="false"/>
        <w:kinsoku/>
        <w:wordWrap/>
        <w:overflowPunct/>
        <w:topLinePunct w:val="false"/>
        <w:autoSpaceDE/>
        <w:autoSpaceDN/>
        <w:bidi w:val="false"/>
        <w:adjustRightInd/>
        <w:snapToGrid/>
        <w:spacing w:line="240" w:lineRule="auto"/>
        <w:ind w:left="0" w:leftChars="0" w:firstLine="0" w:firstLineChars="0"/>
        <w:rPr>
          <w:rFonts w:hint="default" w:eastAsiaTheme="minorEastAsia"/>
          <w:lang w:val="en-US" w:eastAsia="zh-CN"/>
        </w:rPr>
      </w:pPr>
      <w:r>
        <w:rPr>
          <w:rFonts w:hint="default" w:eastAsiaTheme="minor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0" w:name="_Toc9189"/>
      <w:bookmarkStart w:id="151" w:name="_Toc19934"/>
      <w:bookmarkStart w:id="152" w:name="_Toc1883"/>
      <w:r>
        <w:rPr>
          <w:rFonts w:hint="eastAsia" w:ascii="宋体" w:hAnsi="宋体" w:eastAsia="宋体" w:cs="宋体"/>
          <w:b/>
          <w:bCs/>
          <w:i w:val="false"/>
          <w:iCs w:val="false"/>
          <w:color w:val="auto"/>
          <w:kern w:val="0"/>
          <w:sz w:val="28"/>
          <w:szCs w:val="28"/>
          <w:u w:val="none"/>
          <w:lang w:val="en-US" w:eastAsia="zh-CN"/>
        </w:rPr>
        <w:t>附表6：项目投资现金流量表</w:t>
      </w:r>
      <w:bookmarkEnd w:id="150"/>
      <w:bookmarkEnd w:id="151"/>
      <w:bookmarkEnd w:id="152"/>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8"/>
        <w:gridCol w:w="2835"/>
        <w:gridCol w:w="1169"/>
        <w:gridCol w:w="1538"/>
        <w:gridCol w:w="1538"/>
        <w:gridCol w:w="1538"/>
        <w:gridCol w:w="1538"/>
        <w:gridCol w:w="1538"/>
        <w:gridCol w:w="1541"/>
      </w:tblGrid>
      <w:tr>
        <w:trPr>
          <w:trHeight w:val="354" w:hRule="atLeast"/>
          <w:tblHeader/>
        </w:trPr>
        <w:tc>
          <w:tcPr>
            <w:tcW w:w="13993"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7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8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1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23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7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8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1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5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11046.93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837.71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730.52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731.88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733.24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734.61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734.50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8403.16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364.59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730.52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731.88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733.24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734.61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734.50</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473.12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2170.65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7444.11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5352.12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190.50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190.77</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190.69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5256.93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5256.93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1044.81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45.39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90.91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90.93</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90.93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90.76</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90.69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3602.82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-4514.41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540.02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541.29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542.56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543.84</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543.81</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-4514.41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-3974.39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-3433.10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-2890.54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-2346.71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-1802.89</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1646.59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-4332.44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497.36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478.44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460.23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442.72</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424.86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-4332.44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-3835.08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-3356.65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-2896.41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-2453.69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-2028.84</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585.85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34.10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37.68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41.43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49.05</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3016.97</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-4514.41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505.92</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503.61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501.13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498.55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494.76</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-4514.41</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-4008.49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-3504.88</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-3003.74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-2505.19</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-2010.43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1210.00</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-4332.44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465.96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445.13</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425.09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405.85</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386.53</w:t>
            </w:r>
          </w:p>
        </w:tc>
      </w:tr>
      <w:tr>
        <w:trPr>
          <w:trHeight w:val="420" w:hRule="atLeast"/>
        </w:trPr>
        <w:tc>
          <w:tcPr>
            <w:tcW w:w="75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8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1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-4332.44</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-3866.49</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-3421.35</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-2996.26</w:t>
            </w:r>
          </w:p>
        </w:tc>
        <w:tc>
          <w:tcPr>
            <w:tcW w:w="1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-2590.41</w:t>
            </w:r>
          </w:p>
        </w:tc>
        <w:tc>
          <w:tcPr>
            <w:tcW w:w="15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-2203.87</w:t>
            </w:r>
          </w:p>
        </w:tc>
      </w:tr>
    </w:tbl>
    <w:p>
      <w:pPr>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附表6：项目投资现金流量表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1"/>
        <w:gridCol w:w="2710"/>
        <w:gridCol w:w="851"/>
        <w:gridCol w:w="416"/>
        <w:gridCol w:w="236"/>
        <w:gridCol w:w="984"/>
        <w:gridCol w:w="280"/>
        <w:gridCol w:w="704"/>
        <w:gridCol w:w="795"/>
        <w:gridCol w:w="189"/>
        <w:gridCol w:w="984"/>
        <w:gridCol w:w="326"/>
        <w:gridCol w:w="658"/>
        <w:gridCol w:w="841"/>
        <w:gridCol w:w="143"/>
        <w:gridCol w:w="984"/>
        <w:gridCol w:w="371"/>
        <w:gridCol w:w="612"/>
        <w:gridCol w:w="942"/>
      </w:tblGrid>
      <w:tr>
        <w:trPr>
          <w:trHeight w:val="23" w:hRule="atLeast"/>
          <w:tblHeader/>
        </w:trPr>
        <w:tc>
          <w:tcPr>
            <w:tcW w:w="13957" w:type="dxa"/>
            <w:gridSpan w:val="1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blHeader/>
        </w:trPr>
        <w:tc>
          <w:tcPr>
            <w:tcW w:w="9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6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049"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blHeader/>
        </w:trPr>
        <w:tc>
          <w:tcPr>
            <w:tcW w:w="9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6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9</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default"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11046.93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732.91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731.33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729.75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728.18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726.62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2895.71</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营业收入</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8403.16</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732.91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731.33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729.75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728.18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726.62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725.06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留抵退税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回收固定资产余值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2170.65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2170.65</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回收流动资金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现金流出</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7444.11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190.43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190.17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189.92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189.67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189.42</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189.17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5256.93</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2.2</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流动资金</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经营成本</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1044.81</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90.90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90.87</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90.80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90.74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营业税金及附加</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8.99</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8.97</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8.95</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增值税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1038.52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90.48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90.28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90.08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89.88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89.48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2.6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维持运营投资</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3</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所得税前净现金流量（1-2）</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3602.82</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542.48</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541.15</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539.83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538.51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537.20</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2706.54</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4</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-1260.42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-719.26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-179.44</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359.08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896.28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3602.82</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5</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1646.59</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406.73</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389.38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372.77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356.88</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356.01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1793.65</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6</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累计所得税前净现金流量现值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-1622.10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-1232.72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-859.95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-503.07</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-147.06</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1646.59</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7</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调整所得税</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585.85</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52.77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56.66</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60.71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65.11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69.79</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73.28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8</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所得税后净现金流量（3-5）</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3016.97</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489.71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484.50</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479.12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473.40</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467.41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2633.26</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9</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-1520.72</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-1036.23</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-557.11</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-83.71</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383.71</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3016.97</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10</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1210.00</w:t>
            </w: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367.17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347.28</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330.85</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313.73</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309.76</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1745.08</w:t>
            </w:r>
          </w:p>
        </w:tc>
      </w:tr>
      <w:tr>
        <w:trPr>
          <w:trHeight w:val="420" w:hRule="atLeast"/>
        </w:trPr>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default" w:ascii="宋体" w:hAnsi="宋体" w:eastAsia="宋体" w:cs="宋体"/>
                <w:i w:val="false"/>
                <w:iCs w:val="false"/>
                <w:snapToGrid w:val="false"/>
                <w:color w:val="000000"/>
                <w:kern w:val="0"/>
                <w:sz w:val="18"/>
                <w:szCs w:val="18"/>
                <w:u w:val="none"/>
                <w:lang w:val="en-US" w:eastAsia="zh-CN" w:bidi="ar"/>
              </w:rPr>
              <w:t>11</w:t>
            </w:r>
          </w:p>
        </w:tc>
        <w:tc>
          <w:tcPr>
            <w:tcW w:w="27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累计所得税后净现金流量现值</w:t>
            </w:r>
          </w:p>
        </w:tc>
        <w:tc>
          <w:tcPr>
            <w:tcW w:w="126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50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-1836.70</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-1489.42</w:t>
            </w:r>
          </w:p>
        </w:tc>
        <w:tc>
          <w:tcPr>
            <w:tcW w:w="149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-1158.57</w:t>
            </w:r>
          </w:p>
        </w:tc>
        <w:tc>
          <w:tcPr>
            <w:tcW w:w="14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-844.84</w:t>
            </w:r>
          </w:p>
        </w:tc>
        <w:tc>
          <w:tcPr>
            <w:tcW w:w="1498"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-535.08</w:t>
            </w: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false"/>
              <w:keepLines w:val="false"/>
              <w:widowControl/>
              <w:suppressLineNumbers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1210.00</w:t>
            </w:r>
          </w:p>
        </w:tc>
      </w:tr>
      <w:tr>
        <w:trPr>
          <w:trHeight w:val="420" w:hRule="atLeast"/>
        </w:trPr>
        <w:tc>
          <w:tcPr>
            <w:tcW w:w="3641"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计算指标：</w:t>
            </w:r>
          </w:p>
        </w:tc>
        <w:tc>
          <w:tcPr>
            <w:tcW w:w="851"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9.03%</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项目投资财务内部收益率（%）（所得税后）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7.70%</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项目投资财务净现值（所得税前）（ic=4.2%）</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1646.59</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项目投资财务净现值（所得税后）（ic=4.2%）</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1210.00</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r>
        <w:trPr>
          <w:trHeight w:val="420" w:hRule="atLeast"/>
        </w:trPr>
        <w:tc>
          <w:tcPr>
            <w:tcW w:w="4492" w:type="dxa"/>
            <w:gridSpan w:val="3"/>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项目投资回收期（年）（所得税前）</w:t>
            </w:r>
          </w:p>
        </w:tc>
        <w:tc>
          <w:tcPr>
            <w:tcW w:w="652"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11.08</w:t>
            </w:r>
          </w:p>
        </w:tc>
        <w:tc>
          <w:tcPr>
            <w:tcW w:w="984"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3936" w:type="dxa"/>
            <w:gridSpan w:val="7"/>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项目投资回收期（年）（所得税后）</w:t>
            </w:r>
          </w:p>
        </w:tc>
        <w:tc>
          <w:tcPr>
            <w:tcW w:w="984" w:type="dxa"/>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983" w:type="dxa"/>
            <w:gridSpan w:val="2"/>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11.31</w:t>
            </w:r>
          </w:p>
        </w:tc>
        <w:tc>
          <w:tcPr>
            <w:tcW w:w="942" w:type="dxa"/>
            <w:tcBorders>
              <w:top w:val="nil"/>
              <w:left w:val="nil"/>
              <w:bottom w:val="nil"/>
              <w:right w:val="nil"/>
            </w:tcBorders>
            <w:shd w:val="clear" w:color="auto" w:fill="auto"/>
            <w:noWrap/>
            <w:vAlign w:val="center"/>
          </w:tcPr>
          <w:p>
            <w:pPr>
              <w:keepNext w:val="false"/>
              <w:keepLines w:val="false"/>
              <w:pageBreakBefore w:val="false"/>
              <w:kinsoku/>
              <w:wordWrap/>
              <w:overflowPunct/>
              <w:topLinePunct w:val="false"/>
              <w:autoSpaceDE/>
              <w:autoSpaceDN/>
              <w:bidi w:val="false"/>
              <w:adjustRightInd/>
              <w:snapToGrid/>
              <w:spacing w:line="240" w:lineRule="auto"/>
              <w:jc w:val="center"/>
              <w:rPr>
                <w:rFonts w:hint="eastAsia" w:ascii="宋体" w:hAnsi="宋体" w:eastAsia="宋体" w:cs="宋体"/>
                <w:i w:val="false"/>
                <w:iCs w:val="false"/>
                <w:color w:val="000000"/>
                <w:sz w:val="18"/>
                <w:szCs w:val="18"/>
                <w:u w:val="none"/>
              </w:rPr>
            </w:pPr>
          </w:p>
        </w:tc>
      </w:tr>
    </w:tbl>
    <w:p>
      <w:pPr>
        <w:ind w:left="0" w:leftChars="0" w:firstLine="0" w:firstLineChars="0"/>
        <w:rPr>
          <w:rFonts w:hint="eastAsia" w:ascii="宋体" w:hAnsi="宋体" w:eastAsia="宋体" w:cs="宋体"/>
          <w:color w:val="auto"/>
          <w:sz w:val="28"/>
          <w:szCs w:val="28"/>
        </w:rPr>
      </w:pPr>
      <w:r>
        <w:rPr>
          <w:rFonts w:hint="eastAsia" w:ascii="宋体" w:hAnsi="宋体" w:eastAsia="宋体" w:cs="宋体"/>
          <w:color w:val="auto"/>
          <w:sz w:val="28"/>
          <w:szCs w:val="28"/>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3" w:name="_Toc28353"/>
      <w:bookmarkStart w:id="154" w:name="_Toc8075"/>
      <w:bookmarkStart w:id="155" w:name="_Toc13946"/>
      <w:r>
        <w:rPr>
          <w:rFonts w:hint="eastAsia" w:ascii="宋体" w:hAnsi="宋体" w:eastAsia="宋体" w:cs="宋体"/>
          <w:b/>
          <w:bCs/>
          <w:i w:val="false"/>
          <w:iCs w:val="false"/>
          <w:color w:val="auto"/>
          <w:kern w:val="0"/>
          <w:sz w:val="28"/>
          <w:szCs w:val="28"/>
          <w:u w:val="none"/>
          <w:lang w:val="en-US" w:eastAsia="zh-CN"/>
        </w:rPr>
        <w:t>附表7：还本付息表</w:t>
      </w:r>
      <w:bookmarkEnd w:id="153"/>
      <w:bookmarkEnd w:id="154"/>
      <w:bookmarkEnd w:id="155"/>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2"/>
        <w:gridCol w:w="2145"/>
        <w:gridCol w:w="1020"/>
        <w:gridCol w:w="1438"/>
        <w:gridCol w:w="1438"/>
        <w:gridCol w:w="1438"/>
        <w:gridCol w:w="1438"/>
        <w:gridCol w:w="1438"/>
        <w:gridCol w:w="1438"/>
        <w:gridCol w:w="1441"/>
      </w:tblGrid>
      <w:tr>
        <w:trPr>
          <w:trHeight w:val="323" w:hRule="atLeast"/>
        </w:trPr>
        <w:tc>
          <w:tcPr>
            <w:tcW w:w="13946" w:type="dxa"/>
            <w:gridSpan w:val="10"/>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42"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1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10069" w:type="dxa"/>
            <w:gridSpan w:val="7"/>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42"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1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0.5建设期</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0.5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6</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1.1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4060.00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3170.00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1.2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5443.80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232.93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456.40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463.35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459.63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455.45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470.38</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320.00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350.00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1243.80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47.25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92.93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176.40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163.35</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149.63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135.45</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120.38</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1.3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30640.00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4060.00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3480.00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3170.00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2850.00</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2500.00</w:t>
            </w:r>
          </w:p>
        </w:tc>
      </w:tr>
      <w:tr>
        <w:trPr>
          <w:trHeight w:val="420" w:hRule="atLeast"/>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 xml:space="preserve">4 </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6215.97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269.39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540.02</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541.29</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542.56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543.84</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543.81</w:t>
            </w:r>
          </w:p>
        </w:tc>
      </w:tr>
      <w:tr>
        <w:trPr>
          <w:trHeight w:val="420" w:hRule="atLeast"/>
        </w:trPr>
        <w:tc>
          <w:tcPr>
            <w:tcW w:w="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2.90</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3.31</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3.63</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4.02</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4.52</w:t>
            </w:r>
          </w:p>
        </w:tc>
      </w:tr>
      <w:tr>
        <w:trPr>
          <w:trHeight w:val="420" w:hRule="atLeast"/>
        </w:trPr>
        <w:tc>
          <w:tcPr>
            <w:tcW w:w="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1.17</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1.18</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1.19</w:t>
            </w:r>
          </w:p>
        </w:tc>
        <w:tc>
          <w:tcPr>
            <w:tcW w:w="144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r>
    </w:tbl>
    <w:p>
      <w:pPr>
        <w:rPr/>
      </w:pPr>
      <w:r>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t>附表7：还本付息表</w:t>
      </w:r>
    </w:p>
    <w:tbl>
      <w:tblPr>
        <w:tblStyle w:val="00000a"/>
        <w:tblW w:w="0" w:type="auto"/>
        <w:tblInd w:w="11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62"/>
        <w:gridCol w:w="2085"/>
        <w:gridCol w:w="1200"/>
        <w:gridCol w:w="1633"/>
        <w:gridCol w:w="1633"/>
        <w:gridCol w:w="1633"/>
        <w:gridCol w:w="1633"/>
        <w:gridCol w:w="1633"/>
        <w:gridCol w:w="1634"/>
      </w:tblGrid>
      <w:tr>
        <w:trPr>
          <w:trHeight w:val="323" w:hRule="atLeast"/>
        </w:trPr>
        <w:tc>
          <w:tcPr>
            <w:tcW w:w="13946" w:type="dxa"/>
            <w:gridSpan w:val="9"/>
            <w:tcBorders>
              <w:top w:val="nil"/>
              <w:left w:val="nil"/>
              <w:bottom w:val="nil"/>
              <w:right w:val="nil"/>
            </w:tcBorders>
            <w:shd w:val="clear" w:color="auto" w:fill="auto"/>
            <w:noWrap/>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firstLine="0" w:firstLineChars="0"/>
              <w:jc w:val="right"/>
              <w:textAlignment w:val="center"/>
              <w:rPr>
                <w:rFonts w:hint="eastAsia" w:ascii="宋体" w:hAnsi="宋体" w:eastAsia="宋体" w:cs="宋体"/>
                <w:i w:val="false"/>
                <w:iCs w:val="false"/>
                <w:color w:val="000000"/>
                <w:kern w:val="0"/>
                <w:sz w:val="21"/>
                <w:szCs w:val="21"/>
                <w:u w:val="none"/>
                <w:lang w:val="en-US" w:eastAsia="zh-CN" w:bidi="ar"/>
              </w:rPr>
            </w:pPr>
            <w:r>
              <w:rPr>
                <w:rFonts w:hint="eastAsia" w:ascii="宋体" w:hAnsi="宋体" w:eastAsia="宋体" w:cs="宋体"/>
                <w:i w:val="false"/>
                <w:iCs w:val="false"/>
                <w:color w:val="000000"/>
                <w:kern w:val="0"/>
                <w:sz w:val="21"/>
                <w:szCs w:val="21"/>
                <w:u w:val="none"/>
                <w:lang w:val="en-US" w:eastAsia="zh-CN" w:bidi="ar"/>
              </w:rPr>
              <w:t>单位：万元</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序号</w:t>
            </w:r>
          </w:p>
        </w:tc>
        <w:tc>
          <w:tcPr>
            <w:tcW w:w="20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项 目</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合计</w:t>
            </w:r>
          </w:p>
        </w:tc>
        <w:tc>
          <w:tcPr>
            <w:tcW w:w="9799" w:type="dxa"/>
            <w:gridSpan w:val="6"/>
            <w:tcBorders>
              <w:top w:val="single" w:color="000000" w:sz="4" w:space="0"/>
              <w:left w:val="single" w:color="000000" w:sz="4" w:space="0"/>
              <w:bottom w:val="single" w:color="000000" w:sz="4" w:space="0"/>
              <w:right w:val="nil"/>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计算期</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20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11</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kinsoku/>
              <w:wordWrap/>
              <w:overflowPunct/>
              <w:topLinePunct w:val="false"/>
              <w:autoSpaceDE/>
              <w:autoSpaceDN/>
              <w:bidi w:val="false"/>
              <w:adjustRightInd/>
              <w:snapToGrid/>
              <w:spacing w:line="240" w:lineRule="auto"/>
              <w:ind w:left="0" w:leftChars="0" w:firstLine="0" w:firstLineChars="0"/>
              <w:jc w:val="center"/>
              <w:textAlignment w:val="top"/>
              <w:rPr>
                <w:rFonts w:hint="eastAsia" w:ascii="宋体" w:hAnsi="宋体" w:eastAsia="宋体" w:cs="宋体"/>
                <w:b/>
                <w:bCs/>
                <w:i w:val="false"/>
                <w:iCs w:val="false"/>
                <w:color w:val="000000"/>
                <w:kern w:val="0"/>
                <w:sz w:val="18"/>
                <w:szCs w:val="18"/>
                <w:u w:val="none"/>
                <w:lang w:val="en-US" w:eastAsia="zh-CN" w:bidi="ar"/>
              </w:rPr>
            </w:pPr>
            <w:r>
              <w:rPr>
                <w:rFonts w:hint="eastAsia" w:ascii="宋体" w:hAnsi="宋体" w:eastAsia="宋体" w:cs="宋体"/>
                <w:b/>
                <w:bCs/>
                <w:i w:val="false"/>
                <w:iCs w:val="false"/>
                <w:color w:val="000000"/>
                <w:kern w:val="0"/>
                <w:sz w:val="18"/>
                <w:szCs w:val="18"/>
                <w:u w:val="none"/>
                <w:lang w:val="en-US" w:eastAsia="zh-CN" w:bidi="ar"/>
              </w:rPr>
              <w:t>12</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建设投资借款</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期初借款余额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2500.00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2130.00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当期还本付息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5443.80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474.18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467.30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469.75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490.85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480.83</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475.53</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其中：还本</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4200.00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370.00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380.00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400.00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450.00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460.00</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default"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付息</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1243.80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104.18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87.30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69.75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50.85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30.83</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15.53</w:t>
            </w: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期末借款余额</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30640.00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2130.00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1350.00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910.00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460.00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p>
        </w:tc>
      </w:tr>
      <w:tr>
        <w:trPr>
          <w:trHeight w:val="420" w:hRule="atLeast"/>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default"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color w:val="000000"/>
                <w:kern w:val="0"/>
                <w:sz w:val="18"/>
                <w:szCs w:val="18"/>
                <w:u w:val="none"/>
                <w:lang w:val="en-US" w:eastAsia="zh-CN" w:bidi="ar"/>
              </w:rPr>
              <w:t>2</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可用于还本付息的资金</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6215.97</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542.48</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541.15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539.83</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538.51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537.20</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535.89</w:t>
            </w:r>
          </w:p>
        </w:tc>
      </w:tr>
      <w:tr>
        <w:trPr>
          <w:trHeight w:val="420" w:hRule="atLeast"/>
        </w:trPr>
        <w:tc>
          <w:tcPr>
            <w:tcW w:w="8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center"/>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指标</w:t>
            </w: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利息备付率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5.00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5.21</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6.20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7.74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10.59</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17.43</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34.52</w:t>
            </w:r>
          </w:p>
        </w:tc>
      </w:tr>
      <w:tr>
        <w:trPr>
          <w:trHeight w:val="420" w:hRule="atLeast"/>
        </w:trPr>
        <w:tc>
          <w:tcPr>
            <w:tcW w:w="8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wordWrap/>
              <w:overflowPunct/>
              <w:topLinePunct w:val="false"/>
              <w:bidi w:val="false"/>
              <w:jc w:val="center"/>
              <w:rPr>
                <w:rFonts w:hint="eastAsia" w:ascii="宋体" w:hAnsi="宋体" w:eastAsia="宋体" w:cs="宋体"/>
                <w:i w:val="false"/>
                <w:iCs w:val="false"/>
                <w:color w:val="000000"/>
                <w:kern w:val="0"/>
                <w:sz w:val="18"/>
                <w:szCs w:val="18"/>
                <w:u w:val="none"/>
                <w:lang w:val="en-US" w:eastAsia="zh-CN" w:bidi="ar"/>
              </w:rPr>
            </w:pPr>
          </w:p>
        </w:tc>
        <w:tc>
          <w:tcPr>
            <w:tcW w:w="20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偿债备付率</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1.14</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1.16</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1.15</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1.10</w:t>
            </w:r>
          </w:p>
        </w:tc>
        <w:tc>
          <w:tcPr>
            <w:tcW w:w="16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1.12</w:t>
            </w:r>
          </w:p>
        </w:tc>
        <w:tc>
          <w:tcPr>
            <w:tcW w:w="16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false"/>
              <w:keepLines w:val="false"/>
              <w:pageBreakBefore w:val="false"/>
              <w:widowControl/>
              <w:suppressLineNumbers w:val="false"/>
              <w:wordWrap/>
              <w:overflowPunct/>
              <w:topLinePunct w:val="false"/>
              <w:bidi w:val="false"/>
              <w:jc w:val="center"/>
              <w:textAlignment w:val="top"/>
              <w:rPr>
                <w:rFonts w:hint="eastAsia" w:ascii="宋体" w:hAnsi="宋体" w:eastAsia="宋体" w:cs="宋体"/>
                <w:i w:val="false"/>
                <w:iCs w:val="false"/>
                <w:snapToGrid w:val="false"/>
                <w:color w:val="000000"/>
                <w:kern w:val="0"/>
                <w:sz w:val="18"/>
                <w:szCs w:val="18"/>
                <w:u w:val="none"/>
                <w:lang w:val="en-US" w:eastAsia="zh-CN" w:bidi="ar"/>
              </w:rPr>
            </w:pPr>
            <w:r>
              <w:rPr>
                <w:rFonts w:hint="eastAsia" w:ascii="宋体" w:hAnsi="宋体" w:eastAsia="宋体" w:cs="宋体"/>
                <w:i w:val="false"/>
                <w:iCs w:val="false"/>
                <w:snapToGrid w:val="false"/>
                <w:color w:val="000000"/>
                <w:kern w:val="0"/>
                <w:sz w:val="18"/>
                <w:szCs w:val="18"/>
                <w:u w:val="none"/>
                <w:lang w:val="en-US" w:eastAsia="zh-CN" w:bidi="ar"/>
              </w:rPr>
              <w:t>1.13</w:t>
            </w:r>
          </w:p>
        </w:tc>
      </w:tr>
    </w:tbl>
    <w:p>
      <w:pPr>
        <w:rPr>
          <w:rFonts w:hint="eastAsia"/>
          <w:lang w:val="en-US" w:eastAsia="zh-CN"/>
        </w:rPr>
      </w:pPr>
      <w:r>
        <w:rPr>
          <w:rFonts w:hint="eastAsia"/>
          <w:lang w:val="en-US" w:eastAsia="zh-CN"/>
        </w:rPr>
        <w:br w:type="page"/>
      </w:r>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0"/>
        <w:rPr>
          <w:rFonts w:hint="eastAsia" w:ascii="宋体" w:hAnsi="宋体" w:eastAsia="宋体" w:cs="宋体"/>
          <w:b/>
          <w:bCs/>
          <w:i w:val="false"/>
          <w:iCs w:val="false"/>
          <w:color w:val="auto"/>
          <w:kern w:val="0"/>
          <w:sz w:val="28"/>
          <w:szCs w:val="28"/>
          <w:u w:val="none"/>
          <w:lang w:val="en-US" w:eastAsia="zh-CN"/>
        </w:rPr>
      </w:pPr>
      <w:bookmarkStart w:id="156" w:name="_Toc13125"/>
      <w:r>
        <w:rPr>
          <w:rFonts w:hint="eastAsia" w:ascii="宋体" w:hAnsi="宋体" w:eastAsia="宋体" w:cs="宋体"/>
          <w:b/>
          <w:bCs/>
          <w:i w:val="false"/>
          <w:iCs w:val="false"/>
          <w:color w:val="auto"/>
          <w:kern w:val="0"/>
          <w:sz w:val="28"/>
          <w:szCs w:val="28"/>
          <w:u w:val="none"/>
          <w:lang w:val="en-US" w:eastAsia="zh-CN"/>
        </w:rPr>
        <w:t>附表8：大成包装2025年7月10日—2025年10月10日用电量统计</w:t>
      </w:r>
      <w:bookmarkEnd w:id="156"/>
    </w:p>
    <w:p>
      <w:pPr>
        <w:keepNext w:val="false"/>
        <w:keepLines w:val="false"/>
        <w:pageBreakBefore w:val="false"/>
        <w:widowControl/>
        <w:kinsoku w:val="false"/>
        <w:wordWrap/>
        <w:overflowPunct/>
        <w:topLinePunct w:val="false"/>
        <w:autoSpaceDE w:val="false"/>
        <w:autoSpaceDN w:val="false"/>
        <w:bidi w:val="false"/>
        <w:adjustRightInd w:val="false"/>
        <w:snapToGrid w:val="false"/>
        <w:spacing w:line="360" w:lineRule="auto"/>
        <w:textAlignment w:val="baseline"/>
        <w:outlineLvl w:val="9"/>
        <w:rPr>
          <w:rFonts w:hint="eastAsia" w:ascii="宋体" w:hAnsi="宋体" w:eastAsia="宋体" w:cs="宋体"/>
          <w:b/>
          <w:bCs/>
          <w:i w:val="false"/>
          <w:iCs w:val="false"/>
          <w:color w:val="auto"/>
          <w:kern w:val="0"/>
          <w:sz w:val="28"/>
          <w:szCs w:val="28"/>
          <w:u w:val="none"/>
          <w:lang w:val="en-US" w:eastAsia="zh-CN"/>
        </w:rPr>
      </w:pPr>
      <w:r>
        <w:rPr>
          <w:rFonts w:hint="eastAsia" w:ascii="宋体" w:hAnsi="宋体" w:eastAsia="宋体" w:cs="宋体"/>
          <w:b/>
          <w:bCs/>
          <w:i w:val="false"/>
          <w:iCs w:val="false"/>
          <w:color w:val="auto"/>
          <w:kern w:val="0"/>
          <w:sz w:val="28"/>
          <w:szCs w:val="28"/>
          <w:u w:val="none"/>
          <w:lang w:val="en-US" w:eastAsia="zh-CN"/>
        </w:rPr>
        <w:drawing>
          <wp:inline distT="0" distB="0" distL="114300" distR="114300">
            <wp:extent cx="8498840" cy="5051425"/>
            <wp:effectExtent l="0" t="0" r="10160" b="3175"/>
            <wp:docPr id="74" name="图片 6" descr="1"/>
            <wp:cNvGraphicFramePr>
              <a:graphicFrameLocks noChangeAspect="true"/>
            </wp:cNvGraphicFramePr>
            <a:graphic>
              <a:graphicData uri="http://schemas.openxmlformats.org/drawingml/2006/picture">
                <pic:pic>
                  <pic:nvPicPr>
                    <pic:cNvPr id="75" name="图片 6" descr="1"/>
                    <pic:cNvPicPr>
                      <a:picLocks noChangeAspect="true"/>
                    </pic:cNvPicPr>
                  </pic:nvPicPr>
                  <pic:blipFill>
                    <a:blip r:embed="rId30"/>
                    <a:stretch>
                      <a:fillRect/>
                    </a:stretch>
                  </pic:blipFill>
                  <pic:spPr>
                    <a:xfrm>
                      <a:off x="0" y="0"/>
                      <a:ext cx="8498840" cy="5051425"/>
                    </a:xfrm>
                    <a:prstGeom prst="rect">
                      <a:avLst/>
                    </a:prstGeom>
                  </pic:spPr>
                </pic:pic>
              </a:graphicData>
            </a:graphic>
          </wp:inline>
        </w:drawing>
      </w:r>
    </w:p>
    <w:p>
      <w:pPr>
        <w:jc w:val="both"/>
        <w:rPr>
          <w:rFonts w:hint="eastAsia"/>
          <w:lang w:val="en-US" w:eastAsia="zh-CN"/>
        </w:rPr>
      </w:pPr>
      <w:r>
        <w:rPr>
          <w:rFonts w:hint="eastAsia"/>
          <w:lang w:val="en-US" w:eastAsia="zh-CN"/>
        </w:rPr>
        <w:drawing>
          <wp:inline distT="0" distB="0" distL="114300" distR="114300">
            <wp:extent cx="8858250" cy="5059680"/>
            <wp:effectExtent l="0" t="0" r="6350" b="7620"/>
            <wp:docPr id="77" name="图片 7" descr="2"/>
            <wp:cNvGraphicFramePr>
              <a:graphicFrameLocks noChangeAspect="true"/>
            </wp:cNvGraphicFramePr>
            <a:graphic>
              <a:graphicData uri="http://schemas.openxmlformats.org/drawingml/2006/picture">
                <pic:pic>
                  <pic:nvPicPr>
                    <pic:cNvPr id="78" name="图片 7" descr="2"/>
                    <pic:cNvPicPr>
                      <a:picLocks noChangeAspect="true"/>
                    </pic:cNvPicPr>
                  </pic:nvPicPr>
                  <pic:blipFill>
                    <a:blip r:embed="rId31"/>
                    <a:stretch>
                      <a:fillRect/>
                    </a:stretch>
                  </pic:blipFill>
                  <pic:spPr>
                    <a:xfrm>
                      <a:off x="0" y="0"/>
                      <a:ext cx="8858250" cy="5059680"/>
                    </a:xfrm>
                    <a:prstGeom prst="rect">
                      <a:avLst/>
                    </a:prstGeom>
                  </pic:spPr>
                </pic:pic>
              </a:graphicData>
            </a:graphic>
          </wp:inline>
        </w:drawing>
      </w:r>
    </w:p>
    <w:p>
      <w:pPr>
        <w:jc w:val="both"/>
        <w:rPr>
          <w:rFonts w:hint="eastAsia"/>
          <w:lang w:val="en-US" w:eastAsia="zh-CN"/>
        </w:rPr>
      </w:pPr>
      <w:r>
        <w:rPr>
          <w:rFonts w:hint="eastAsia"/>
          <w:lang w:val="en-US" w:eastAsia="zh-CN"/>
        </w:rPr>
        <w:drawing>
          <wp:inline distT="0" distB="0" distL="114300" distR="114300">
            <wp:extent cx="8959215" cy="5044440"/>
            <wp:effectExtent l="0" t="0" r="6985" b="10160"/>
            <wp:docPr id="80" name="图片 9" descr="3"/>
            <wp:cNvGraphicFramePr>
              <a:graphicFrameLocks noChangeAspect="true"/>
            </wp:cNvGraphicFramePr>
            <a:graphic>
              <a:graphicData uri="http://schemas.openxmlformats.org/drawingml/2006/picture">
                <pic:pic>
                  <pic:nvPicPr>
                    <pic:cNvPr id="81" name="图片 9" descr="3"/>
                    <pic:cNvPicPr>
                      <a:picLocks noChangeAspect="true"/>
                    </pic:cNvPicPr>
                  </pic:nvPicPr>
                  <pic:blipFill>
                    <a:blip r:embed="rId32"/>
                    <a:stretch>
                      <a:fillRect/>
                    </a:stretch>
                  </pic:blipFill>
                  <pic:spPr>
                    <a:xfrm>
                      <a:off x="0" y="0"/>
                      <a:ext cx="8959215" cy="5044440"/>
                    </a:xfrm>
                    <a:prstGeom prst="rect">
                      <a:avLst/>
                    </a:prstGeom>
                  </pic:spPr>
                </pic:pic>
              </a:graphicData>
            </a:graphic>
          </wp:inline>
        </w:drawing>
      </w:r>
    </w:p>
    <w:sectPr>
      <w:pgSz w:w="16838" w:h="11906" w:orient="landscape"/>
      <w:pgMar w:top="1610" w:right="1440" w:bottom="1134"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http://schemas.openxmlformats.org/wordprocessingml/2006/main">
  <w:endnote w:type="continuationSeparator" w:id="0">
    <w:p>
      <w:pPr>
        <w:spacing w:line="240" w:lineRule="auto"/>
        <w:rPr/>
      </w:pPr>
      <w:r>
        <w:rPr/>
        <w:continuationSeparator/>
      </w:r>
    </w:p>
  </w:endnote>
  <w:endnote w:type="separator" w:id="1">
    <w:p>
      <w:pPr>
        <w:spacing w:line="240" w:lineRule="auto"/>
        <w:rPr/>
      </w:pPr>
      <w:r>
        <w:rPr/>
        <w:separator/>
      </w:r>
    </w:p>
  </w:endnote>
</w:endnotes>
</file>

<file path=word/fontTable.xml><?xml version="1.0" encoding="utf-8"?>
<w:fonts xmlns:w="http://schemas.openxmlformats.org/wordprocessingml/2006/main">
  <w:font w:name="楷体_GB2312">
    <w:altName w:val="楷体"/>
    <w:panose1 w:val="02010609030101010101"/>
    <w:charset w:val="86" w:characterSet="ISO-8859-1"/>
    <w:family w:val="modern"/>
    <w:pitch w:val="default"/>
    <w:sig w:usb0="00000000" w:usb1="00000000" w:usb2="00000000" w:usb3="00000000" w:csb0="00040000" w:csb1="00000000"/>
  </w:font>
  <w:font w:name="宋体">
    <w:panose1 w:val="02010600030101010101"/>
    <w:charset w:val="50" w:characterSet="ISO-8859-1"/>
    <w:family w:val="auto"/>
    <w:pitch w:val="default"/>
    <w:sig w:usb0="00000203" w:usb1="288F0000" w:usb2="00000006" w:usb3="00000000" w:csb0="00040001" w:csb1="00000000"/>
  </w:font>
  <w:font w:name="Arial">
    <w:panose1 w:val="020B0604020202020204"/>
    <w:charset w:val="01" w:characterSet="ISO-8859-1"/>
    <w:family w:val="swiss"/>
    <w:pitch w:val="default"/>
    <w:sig w:usb0="E0002EFF" w:usb1="C000785B" w:usb2="00000009" w:usb3="00000000" w:csb0="400001FF" w:csb1="FFFF0000"/>
  </w:font>
  <w:font w:name="Calibri">
    <w:panose1 w:val="020F0502020204030204"/>
    <w:charset w:val="00" w:characterSet="ISO-8859-1"/>
    <w:family w:val="swiss"/>
    <w:pitch w:val="default"/>
    <w:sig w:usb0="E4002EFF" w:usb1="C200247B" w:usb2="00000009" w:usb3="00000000" w:csb0="200001FF" w:csb1="00000000"/>
  </w:font>
  <w:font w:name="微软雅黑">
    <w:panose1 w:val="020B0503020204020204"/>
    <w:charset w:val="86" w:characterSet="ISO-8859-1"/>
    <w:family w:val="auto"/>
    <w:pitch w:val="default"/>
    <w:sig w:usb0="80000287" w:usb1="2ACF3C50" w:usb2="00000016" w:usb3="00000000" w:csb0="0004001F" w:csb1="00000000"/>
  </w:font>
  <w:font w:name="仿宋_GB2312">
    <w:altName w:val="仿宋"/>
    <w:panose1 w:val="02010609030101010101"/>
    <w:charset w:val="86" w:characterSet="ISO-8859-1"/>
    <w:family w:val="modern"/>
    <w:pitch w:val="default"/>
    <w:sig w:usb0="00000000" w:usb1="00000000" w:usb2="00000000" w:usb3="00000000" w:csb0="00040000" w:csb1="00000000"/>
  </w:font>
  <w:font w:name="Symbol">
    <w:panose1 w:val="05050102010706020507"/>
    <w:charset w:val="02" w:characterSet="ISO-8859-1"/>
    <w:family w:val="roman"/>
    <w:pitch w:val="default"/>
    <w:sig w:usb0="00000000" w:usb1="00000000" w:usb2="00000000" w:usb3="00000000" w:csb0="80000000" w:csb1="00000000"/>
  </w:font>
  <w:font w:name="黑体">
    <w:panose1 w:val="02010609060101010101"/>
    <w:charset w:val="86" w:characterSet="ISO-8859-1"/>
    <w:family w:val="auto"/>
    <w:pitch w:val="default"/>
    <w:sig w:usb0="800002BF" w:usb1="38CF7CFA" w:usb2="00000016" w:usb3="00000000" w:csb0="00040001" w:csb1="00000000"/>
  </w:font>
  <w:font w:name="Courier New">
    <w:panose1 w:val="02070309020205020404"/>
    <w:charset w:val="01" w:characterSet="ISO-8859-1"/>
    <w:family w:val="modern"/>
    <w:pitch w:val="default"/>
    <w:sig w:usb0="E0002EFF" w:usb1="C0007843" w:usb2="00000009" w:usb3="00000000" w:csb0="400001FF" w:csb1="FFFF0000"/>
  </w:font>
  <w:font w:name="楷体">
    <w:panose1 w:val="02010609060101010101"/>
    <w:charset w:val="86" w:characterSet="ISO-8859-1"/>
    <w:family w:val="auto"/>
    <w:pitch w:val="default"/>
    <w:sig w:usb0="800002BF" w:usb1="38CF7CFA" w:usb2="00000016" w:usb3="00000000" w:csb0="00040001" w:csb1="00000000"/>
  </w:font>
  <w:font w:name="仿宋">
    <w:panose1 w:val="02010609060101010101"/>
    <w:charset w:val="86" w:characterSet="ISO-8859-1"/>
    <w:family w:val="auto"/>
    <w:pitch w:val="default"/>
    <w:sig w:usb0="800002BF" w:usb1="38CF7CFA" w:usb2="00000016" w:usb3="00000000" w:csb0="00040001" w:csb1="00000000"/>
  </w:font>
  <w:font w:name="Tahoma">
    <w:panose1 w:val="020B0604030504040204"/>
    <w:charset w:val="00" w:characterSet="ISO-8859-1"/>
    <w:family w:val="auto"/>
    <w:pitch w:val="default"/>
    <w:sig w:usb0="E1002EFF" w:usb1="C000605B" w:usb2="00000029" w:usb3="00000000" w:csb0="200101FF" w:csb1="20280000"/>
  </w:font>
  <w:font w:name="Times New Roman">
    <w:panose1 w:val="02020603050405020304"/>
    <w:charset w:val="80" w:characterSet="ISO-8859-1"/>
    <w:family w:val="auto"/>
    <w:pitch w:val="default"/>
    <w:sig w:usb0="E0002EFF" w:usb1="C000785B" w:usb2="00000009" w:usb3="00000000" w:csb0="400001FF" w:csb1="FFFF0000"/>
  </w:font>
  <w:font w:name="Wingdings">
    <w:panose1 w:val="05000000000000000000"/>
    <w:charset w:val="02" w:characterSet="ISO-8859-1"/>
    <w:family w:val="auto"/>
    <w:pitch w:val="default"/>
    <w:sig w:usb0="00000000" w:usb1="00000000" w:usb2="00000000" w:usb3="00000000" w:csb0="80000000" w:csb1="00000000"/>
  </w:font>
  <w:font w:name="Leelawadee UI">
    <w:panose1 w:val="020B0502040204020203"/>
    <w:charset w:val="00" w:characterSet="ISO-8859-1"/>
    <w:family w:val="auto"/>
    <w:pitch w:val="default"/>
    <w:sig w:usb0="83000003" w:usb1="00000000" w:usb2="00010000" w:usb3="00000001" w:csb0="00010101" w:csb1="00000000"/>
  </w:font>
</w:fonts>
</file>

<file path=word/footer1.xml><?xml version="1.0" encoding="utf-8"?>
<w:ftr xmlns:a="http://schemas.openxmlformats.org/drawingml/2006/main" xmlns:w="http://schemas.openxmlformats.org/wordprocessingml/2006/main" xmlns:wps="http://schemas.microsoft.com/office/word/2010/wordprocessingShape" xmlns:wp="http://schemas.openxmlformats.org/drawingml/2006/wordprocessingDrawing" xmlns:mc="http://schemas.openxmlformats.org/markup-compatibility/2006" mc:Ignorable="wps">
  <w:p>
    <w:pPr>
      <w:pStyle w:val="00000f"/>
      <w:rPr/>
    </w:pPr>
    <w:r>
      <w:rPr>
        <w:sz w:val="18"/>
      </w:rPr>
      <w:drawing>
        <wp:anchor distT="0" distB="0" distL="114300" distR="114300" simplePos="false" relativeHeight="251659264"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83" name="文本框 3"/>
          <wp:cNvGraphicFramePr/>
          <a:graphic>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00000f"/>
                        <w:rPr/>
                      </w:pPr>
                      <w:r>
                        <w:rPr/>
                        <w:fldChar w:fldCharType="begin"/>
                      </w:r>
                      <w:r>
                        <w:rPr/>
                        <w:instrText xml:space="preserve"> PAGE  \* MERGEFORMAT </w:instrText>
                      </w:r>
                      <w:r>
                        <w:rPr/>
                        <w:fldChar w:fldCharType="separate"/>
                      </w:r>
                      <w:r>
                        <w:rPr/>
                        <w:t>1</w:t>
                      </w:r>
                      <w:r>
                        <w:rPr/>
                        <w:fldChar w:fldCharType="end"/>
                      </w:r>
                    </w:p>
                  </w:txbxContent>
                </wps:txbx>
                <wps:bodyPr rot="0" spcFirstLastPara="false" vertOverflow="overflow" horzOverflow="overflow" vert="horz" wrap="none" lIns="0" tIns="0" rIns="0" bIns="0" numCol="1" spcCol="0" rtlCol="false" fromWordArt="false" anchor="t" anchorCtr="false" forceAA="false" upright="false" compatLnSpc="true">
                  <a:spAutoFit/>
                </wps:bodyPr>
              </wps:wsp>
            </a:graphicData>
          </a:graphic>
        </wp:anchor>
      </w:drawing>
    </w:r>
  </w:p>
</w:ftr>
</file>

<file path=word/footnotes.xml><?xml version="1.0" encoding="utf-8"?>
<w:footnotes xmlns:w="http://schemas.openxmlformats.org/wordprocessingml/2006/main">
  <w:footnote w:type="continuationSeparator" w:id="0">
    <w:p>
      <w:pPr>
        <w:spacing w:line="240" w:lineRule="auto"/>
        <w:rPr/>
      </w:pPr>
      <w:r>
        <w:rPr/>
        <w:continuationSeparator/>
      </w:r>
    </w:p>
  </w:footnote>
  <w:footnote w:type="separator" w:id="1">
    <w:p>
      <w:pPr>
        <w:spacing w:line="240" w:lineRule="auto"/>
        <w:rPr/>
      </w:pPr>
      <w:r>
        <w:rPr/>
        <w:separator/>
      </w:r>
    </w:p>
  </w:footnote>
</w:footnotes>
</file>

<file path=word/settings.xml><?xml version="1.0" encoding="utf-8"?>
<w:settings xmlns:w="http://schemas.openxmlformats.org/wordprocessingml/2006/main">
  <w:zoom w:percent="100"/>
  <w:embedSystemFonts/>
  <w:bordersDoNotSurroundHeader w:val="false"/>
  <w:bordersDoNotSurroundFooter w:val="false"/>
  <w:documentProtection w:enforcement="false"/>
  <w:defaultTabStop w:val="420"/>
  <w:drawingGridVerticalSpacing w:val="156"/>
  <w:displayHorizontalDrawingGridEvery w:val="1"/>
  <w:displayVerticalDrawingGridEvery w:val="1"/>
  <w:noPunctuationKerning/>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doNotFlipMirrorIndents" w:uri="http://schemas.microsoft.com/office/word" w:val="1"/>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
  <w:docVars>
    <w:docVar w:name="commondata" w:val="eyJoZGlkIjoiMjg5Y2I0MjJhNjk2YTNkNTBmZDQzOWRjNmQ4ZWQxMjUifQ=="/>
    <w:docVar w:name="KSO_WPS_MARK_KEY" w:val="74114926-c3c3-48e1-ab3c-148467b7437e"/>
  </w:docVars>
  <w:rsids>
    <w:rsidRoot w:val="00000000"/>
    <w:rsid w:val="00000871"/>
    <w:rsid w:val="00276E33"/>
    <w:rsid w:val="003A6B66"/>
    <w:rsid w:val="007F6C6F"/>
    <w:rsid w:val="00AA3CEC"/>
    <w:rsid w:val="00BF0E19"/>
    <w:rsid w:val="00F00AF2"/>
    <w:rsid w:val="00F86A1F"/>
    <w:rsid w:val="00FF56BA"/>
    <w:rsid w:val="011854D6"/>
    <w:rsid w:val="01233A9E"/>
    <w:rsid w:val="01590227"/>
    <w:rsid w:val="017405AF"/>
    <w:rsid w:val="0198566A"/>
    <w:rsid w:val="01A2719B"/>
    <w:rsid w:val="02785724"/>
    <w:rsid w:val="028125AD"/>
    <w:rsid w:val="028669F8"/>
    <w:rsid w:val="030E5A2F"/>
    <w:rsid w:val="03766107"/>
    <w:rsid w:val="03B31109"/>
    <w:rsid w:val="03EF5EB9"/>
    <w:rsid w:val="047B1719"/>
    <w:rsid w:val="04854128"/>
    <w:rsid w:val="049F51EA"/>
    <w:rsid w:val="04D86DBD"/>
    <w:rsid w:val="053E00D1"/>
    <w:rsid w:val="058F1702"/>
    <w:rsid w:val="05A87C8C"/>
    <w:rsid w:val="05AD007F"/>
    <w:rsid w:val="05D666A6"/>
    <w:rsid w:val="05EB4D05"/>
    <w:rsid w:val="0622270A"/>
    <w:rsid w:val="066E1317"/>
    <w:rsid w:val="072D2F81"/>
    <w:rsid w:val="07612484"/>
    <w:rsid w:val="08017F69"/>
    <w:rsid w:val="087566B7"/>
    <w:rsid w:val="089B216C"/>
    <w:rsid w:val="08A234FA"/>
    <w:rsid w:val="08AA23AF"/>
    <w:rsid w:val="08B31F1F"/>
    <w:rsid w:val="09104908"/>
    <w:rsid w:val="09293C1C"/>
    <w:rsid w:val="093920B1"/>
    <w:rsid w:val="093F0D49"/>
    <w:rsid w:val="099F4BAF"/>
    <w:rsid w:val="09E85885"/>
    <w:rsid w:val="0A5F5B47"/>
    <w:rsid w:val="0A882AFE"/>
    <w:rsid w:val="0ACA55BE"/>
    <w:rsid w:val="0B185CF6"/>
    <w:rsid w:val="0B3643CE"/>
    <w:rsid w:val="0B8D2240"/>
    <w:rsid w:val="0C1F6495"/>
    <w:rsid w:val="0CA710DF"/>
    <w:rsid w:val="0CD506D6"/>
    <w:rsid w:val="0CE42333"/>
    <w:rsid w:val="0CFB142B"/>
    <w:rsid w:val="0DA815B3"/>
    <w:rsid w:val="0DFF01A7"/>
    <w:rsid w:val="0E0F5966"/>
    <w:rsid w:val="0E2A765C"/>
    <w:rsid w:val="0E325320"/>
    <w:rsid w:val="0E7771D7"/>
    <w:rsid w:val="0EF40828"/>
    <w:rsid w:val="0F38025F"/>
    <w:rsid w:val="0F9E1CEC"/>
    <w:rsid w:val="0FA55526"/>
    <w:rsid w:val="0FE30D65"/>
    <w:rsid w:val="10262C63"/>
    <w:rsid w:val="113D0264"/>
    <w:rsid w:val="11AB78C4"/>
    <w:rsid w:val="11D861DF"/>
    <w:rsid w:val="11DD2029"/>
    <w:rsid w:val="11ED4408"/>
    <w:rsid w:val="121A05A5"/>
    <w:rsid w:val="12E3308D"/>
    <w:rsid w:val="130D1EB8"/>
    <w:rsid w:val="132F795F"/>
    <w:rsid w:val="133728C5"/>
    <w:rsid w:val="13707696"/>
    <w:rsid w:val="137B4E47"/>
    <w:rsid w:val="13F319E8"/>
    <w:rsid w:val="13FB7F63"/>
    <w:rsid w:val="14116861"/>
    <w:rsid w:val="144933C4"/>
    <w:rsid w:val="147F6DE6"/>
    <w:rsid w:val="14A32263"/>
    <w:rsid w:val="14AA20B4"/>
    <w:rsid w:val="14E05AD6"/>
    <w:rsid w:val="151E7BE7"/>
    <w:rsid w:val="155B515D"/>
    <w:rsid w:val="15747FCD"/>
    <w:rsid w:val="15D45137"/>
    <w:rsid w:val="163836F0"/>
    <w:rsid w:val="163D0D06"/>
    <w:rsid w:val="16534086"/>
    <w:rsid w:val="16574965"/>
    <w:rsid w:val="165E3157"/>
    <w:rsid w:val="166B68BC"/>
    <w:rsid w:val="166C09FE"/>
    <w:rsid w:val="16897AA8"/>
    <w:rsid w:val="170535D2"/>
    <w:rsid w:val="17081314"/>
    <w:rsid w:val="17C04584"/>
    <w:rsid w:val="17D95B0F"/>
    <w:rsid w:val="18123EA2"/>
    <w:rsid w:val="18270379"/>
    <w:rsid w:val="18846779"/>
    <w:rsid w:val="19AC41D9"/>
    <w:rsid w:val="19BC5B82"/>
    <w:rsid w:val="1A156DAE"/>
    <w:rsid w:val="1A1846E1"/>
    <w:rsid w:val="1A424B3D"/>
    <w:rsid w:val="1A452F93"/>
    <w:rsid w:val="1A705206"/>
    <w:rsid w:val="1A8707A2"/>
    <w:rsid w:val="1A9315F3"/>
    <w:rsid w:val="1AC27A2C"/>
    <w:rsid w:val="1ACD08AB"/>
    <w:rsid w:val="1B1A33C4"/>
    <w:rsid w:val="1B6A5707"/>
    <w:rsid w:val="1B7A0CC2"/>
    <w:rsid w:val="1BBF5DF0"/>
    <w:rsid w:val="1BEA2D97"/>
    <w:rsid w:val="1BEB1F58"/>
    <w:rsid w:val="1C817B9F"/>
    <w:rsid w:val="1CE95744"/>
    <w:rsid w:val="1D531DAF"/>
    <w:rsid w:val="1D9B6AF0"/>
    <w:rsid w:val="1E1E766F"/>
    <w:rsid w:val="1E9E4585"/>
    <w:rsid w:val="1EC41FC5"/>
    <w:rsid w:val="1EF205A4"/>
    <w:rsid w:val="1F026649"/>
    <w:rsid w:val="1F0C3210"/>
    <w:rsid w:val="1F4871EC"/>
    <w:rsid w:val="1FB5190D"/>
    <w:rsid w:val="201C7BDE"/>
    <w:rsid w:val="204719C1"/>
    <w:rsid w:val="206C2DC3"/>
    <w:rsid w:val="20904294"/>
    <w:rsid w:val="209459C7"/>
    <w:rsid w:val="213F0657"/>
    <w:rsid w:val="217512E3"/>
    <w:rsid w:val="226338A3"/>
    <w:rsid w:val="23492CED"/>
    <w:rsid w:val="23A14683"/>
    <w:rsid w:val="23BE3486"/>
    <w:rsid w:val="23D56D8B"/>
    <w:rsid w:val="23DB7500"/>
    <w:rsid w:val="244905A6"/>
    <w:rsid w:val="24977834"/>
    <w:rsid w:val="24A26904"/>
    <w:rsid w:val="24BC729A"/>
    <w:rsid w:val="24EE4B38"/>
    <w:rsid w:val="24F06F8E"/>
    <w:rsid w:val="25080F6A"/>
    <w:rsid w:val="25381095"/>
    <w:rsid w:val="253B4663"/>
    <w:rsid w:val="25542B36"/>
    <w:rsid w:val="25636D77"/>
    <w:rsid w:val="259605E0"/>
    <w:rsid w:val="25F84A15"/>
    <w:rsid w:val="26235823"/>
    <w:rsid w:val="26377520"/>
    <w:rsid w:val="269C55D5"/>
    <w:rsid w:val="269F1099"/>
    <w:rsid w:val="279278A0"/>
    <w:rsid w:val="280451E0"/>
    <w:rsid w:val="281178FD"/>
    <w:rsid w:val="2838132E"/>
    <w:rsid w:val="283F16DD"/>
    <w:rsid w:val="284D7A15"/>
    <w:rsid w:val="2859082E"/>
    <w:rsid w:val="28C8445F"/>
    <w:rsid w:val="28DE0127"/>
    <w:rsid w:val="295220ED"/>
    <w:rsid w:val="29656152"/>
    <w:rsid w:val="29AD2DF9"/>
    <w:rsid w:val="29E4176D"/>
    <w:rsid w:val="2A0E0598"/>
    <w:rsid w:val="2A4C284B"/>
    <w:rsid w:val="2A9F5694"/>
    <w:rsid w:val="2B202325"/>
    <w:rsid w:val="2B6C37C8"/>
    <w:rsid w:val="2B730DE7"/>
    <w:rsid w:val="2B844FB6"/>
    <w:rsid w:val="2BFD08C4"/>
    <w:rsid w:val="2C4C35F9"/>
    <w:rsid w:val="2C525485"/>
    <w:rsid w:val="2C680433"/>
    <w:rsid w:val="2CA60F5C"/>
    <w:rsid w:val="2CDF7FCA"/>
    <w:rsid w:val="2D664671"/>
    <w:rsid w:val="2D7A1670"/>
    <w:rsid w:val="2D990F72"/>
    <w:rsid w:val="2DC87FA5"/>
    <w:rsid w:val="2E320542"/>
    <w:rsid w:val="2F261EE0"/>
    <w:rsid w:val="2F8E3583"/>
    <w:rsid w:val="2FFD2D9D"/>
    <w:rsid w:val="303932A5"/>
    <w:rsid w:val="30444D13"/>
    <w:rsid w:val="31644EEA"/>
    <w:rsid w:val="317732C2"/>
    <w:rsid w:val="3184468B"/>
    <w:rsid w:val="3246740A"/>
    <w:rsid w:val="32827D75"/>
    <w:rsid w:val="328C4750"/>
    <w:rsid w:val="32B515DD"/>
    <w:rsid w:val="33071375"/>
    <w:rsid w:val="33185FE3"/>
    <w:rsid w:val="3337290D"/>
    <w:rsid w:val="3422536C"/>
    <w:rsid w:val="346F60D7"/>
    <w:rsid w:val="34931537"/>
    <w:rsid w:val="34AB04B7"/>
    <w:rsid w:val="35260DFF"/>
    <w:rsid w:val="35E06B6A"/>
    <w:rsid w:val="35F26FC0"/>
    <w:rsid w:val="369E5C39"/>
    <w:rsid w:val="36FD79CA"/>
    <w:rsid w:val="37737C8C"/>
    <w:rsid w:val="37A61E10"/>
    <w:rsid w:val="37C52BDE"/>
    <w:rsid w:val="37DE7398"/>
    <w:rsid w:val="383C09C6"/>
    <w:rsid w:val="384C5A92"/>
    <w:rsid w:val="38696D18"/>
    <w:rsid w:val="386E0C42"/>
    <w:rsid w:val="386F1D36"/>
    <w:rsid w:val="38D570C3"/>
    <w:rsid w:val="38ED4133"/>
    <w:rsid w:val="394C4C39"/>
    <w:rsid w:val="3960579A"/>
    <w:rsid w:val="397F0B6A"/>
    <w:rsid w:val="39C944DB"/>
    <w:rsid w:val="39E21E54"/>
    <w:rsid w:val="3A254889"/>
    <w:rsid w:val="3A993EAE"/>
    <w:rsid w:val="3ABD5E67"/>
    <w:rsid w:val="3AC542D5"/>
    <w:rsid w:val="3B070A7D"/>
    <w:rsid w:val="3B922EDF"/>
    <w:rsid w:val="3BA526F6"/>
    <w:rsid w:val="3BEC0297"/>
    <w:rsid w:val="3C027033"/>
    <w:rsid w:val="3C8446EA"/>
    <w:rsid w:val="3CC0731A"/>
    <w:rsid w:val="3D0F66A9"/>
    <w:rsid w:val="3D8F1598"/>
    <w:rsid w:val="3DC01751"/>
    <w:rsid w:val="3DF80EEB"/>
    <w:rsid w:val="3F185CE9"/>
    <w:rsid w:val="3F3276DC"/>
    <w:rsid w:val="3F565EE8"/>
    <w:rsid w:val="3F5860E5"/>
    <w:rsid w:val="3F8418F6"/>
    <w:rsid w:val="3FA94B93"/>
    <w:rsid w:val="3FE73128"/>
    <w:rsid w:val="400E49F6"/>
    <w:rsid w:val="40300E10"/>
    <w:rsid w:val="409A6AE6"/>
    <w:rsid w:val="40D75730"/>
    <w:rsid w:val="40F97472"/>
    <w:rsid w:val="41061B71"/>
    <w:rsid w:val="410D4CAE"/>
    <w:rsid w:val="413D1BB0"/>
    <w:rsid w:val="414556C6"/>
    <w:rsid w:val="41475031"/>
    <w:rsid w:val="415832F8"/>
    <w:rsid w:val="419E1093"/>
    <w:rsid w:val="41C2018E"/>
    <w:rsid w:val="41D852BC"/>
    <w:rsid w:val="41ED05C6"/>
    <w:rsid w:val="42312C1E"/>
    <w:rsid w:val="42894808"/>
    <w:rsid w:val="42A9218F"/>
    <w:rsid w:val="42AF56AF"/>
    <w:rsid w:val="4352404F"/>
    <w:rsid w:val="437454B8"/>
    <w:rsid w:val="43B62A59"/>
    <w:rsid w:val="43B753A5"/>
    <w:rsid w:val="43DD111E"/>
    <w:rsid w:val="44613C8E"/>
    <w:rsid w:val="449F0313"/>
    <w:rsid w:val="453749EF"/>
    <w:rsid w:val="4545387C"/>
    <w:rsid w:val="457E261E"/>
    <w:rsid w:val="45B24076"/>
    <w:rsid w:val="45BB22F1"/>
    <w:rsid w:val="46072613"/>
    <w:rsid w:val="46210CC6"/>
    <w:rsid w:val="462C66C9"/>
    <w:rsid w:val="465F41FD"/>
    <w:rsid w:val="466510E8"/>
    <w:rsid w:val="469240A5"/>
    <w:rsid w:val="46EB3CE3"/>
    <w:rsid w:val="46FB3202"/>
    <w:rsid w:val="474E2E70"/>
    <w:rsid w:val="47A5361A"/>
    <w:rsid w:val="47E946A7"/>
    <w:rsid w:val="47FE76D1"/>
    <w:rsid w:val="4805359A"/>
    <w:rsid w:val="4840638E"/>
    <w:rsid w:val="48757D08"/>
    <w:rsid w:val="48833275"/>
    <w:rsid w:val="48D12A65"/>
    <w:rsid w:val="4965742B"/>
    <w:rsid w:val="496B2EB9"/>
    <w:rsid w:val="499A66C0"/>
    <w:rsid w:val="49CE4465"/>
    <w:rsid w:val="4A196CF5"/>
    <w:rsid w:val="4A431740"/>
    <w:rsid w:val="4B667DDC"/>
    <w:rsid w:val="4BAA3732"/>
    <w:rsid w:val="4C2E7CCC"/>
    <w:rsid w:val="4C5D5CF6"/>
    <w:rsid w:val="4C6A6F94"/>
    <w:rsid w:val="4CA77A88"/>
    <w:rsid w:val="4CBE2E20"/>
    <w:rsid w:val="4CFE5C0C"/>
    <w:rsid w:val="4D325C6C"/>
    <w:rsid w:val="4D5A571F"/>
    <w:rsid w:val="4D7A7B6F"/>
    <w:rsid w:val="4D8600A4"/>
    <w:rsid w:val="4D8C4B13"/>
    <w:rsid w:val="4D930C30"/>
    <w:rsid w:val="4DA47DE9"/>
    <w:rsid w:val="4E0F02B7"/>
    <w:rsid w:val="4EB1136E"/>
    <w:rsid w:val="4EEC23A6"/>
    <w:rsid w:val="4F1920A0"/>
    <w:rsid w:val="4F691C49"/>
    <w:rsid w:val="4F777D03"/>
    <w:rsid w:val="4F812059"/>
    <w:rsid w:val="4F983C1B"/>
    <w:rsid w:val="4FA709C3"/>
    <w:rsid w:val="4FAC3EAB"/>
    <w:rsid w:val="50007ACD"/>
    <w:rsid w:val="500B41B1"/>
    <w:rsid w:val="50240068"/>
    <w:rsid w:val="50252D29"/>
    <w:rsid w:val="503F0996"/>
    <w:rsid w:val="50515E4B"/>
    <w:rsid w:val="50EA6DB9"/>
    <w:rsid w:val="50FE76EC"/>
    <w:rsid w:val="51165913"/>
    <w:rsid w:val="5118277B"/>
    <w:rsid w:val="513A1AEF"/>
    <w:rsid w:val="514E559A"/>
    <w:rsid w:val="516A23F3"/>
    <w:rsid w:val="51791EEB"/>
    <w:rsid w:val="519C6BF2"/>
    <w:rsid w:val="51FC55B1"/>
    <w:rsid w:val="52067C23"/>
    <w:rsid w:val="52342D13"/>
    <w:rsid w:val="523D0814"/>
    <w:rsid w:val="52642B9B"/>
    <w:rsid w:val="53D855EF"/>
    <w:rsid w:val="541C0185"/>
    <w:rsid w:val="543C3357"/>
    <w:rsid w:val="546D5D37"/>
    <w:rsid w:val="547A7D75"/>
    <w:rsid w:val="54C47921"/>
    <w:rsid w:val="54DE7D82"/>
    <w:rsid w:val="560650D6"/>
    <w:rsid w:val="560A5808"/>
    <w:rsid w:val="56443BC7"/>
    <w:rsid w:val="56C500AD"/>
    <w:rsid w:val="577477EE"/>
    <w:rsid w:val="57A2219C"/>
    <w:rsid w:val="57A91349"/>
    <w:rsid w:val="57C32112"/>
    <w:rsid w:val="57CC7219"/>
    <w:rsid w:val="583D3C73"/>
    <w:rsid w:val="5A47527D"/>
    <w:rsid w:val="5A6E45B7"/>
    <w:rsid w:val="5AA1498D"/>
    <w:rsid w:val="5AE54EDC"/>
    <w:rsid w:val="5B6D486F"/>
    <w:rsid w:val="5B932866"/>
    <w:rsid w:val="5BCA7F13"/>
    <w:rsid w:val="5C1F54B9"/>
    <w:rsid w:val="5C6E089F"/>
    <w:rsid w:val="5CBB0025"/>
    <w:rsid w:val="5CEF46C8"/>
    <w:rsid w:val="5D0255A9"/>
    <w:rsid w:val="5D215911"/>
    <w:rsid w:val="5D982B15"/>
    <w:rsid w:val="5DD82F19"/>
    <w:rsid w:val="5E155921"/>
    <w:rsid w:val="5E4556A0"/>
    <w:rsid w:val="5E4D0988"/>
    <w:rsid w:val="5E6F6B50"/>
    <w:rsid w:val="5E816FDD"/>
    <w:rsid w:val="5E897C12"/>
    <w:rsid w:val="5E987E55"/>
    <w:rsid w:val="5EB1239D"/>
    <w:rsid w:val="5EBA4D17"/>
    <w:rsid w:val="5EDE1337"/>
    <w:rsid w:val="5F222469"/>
    <w:rsid w:val="5F357D99"/>
    <w:rsid w:val="5F6D46B6"/>
    <w:rsid w:val="5F8E0A77"/>
    <w:rsid w:val="5F93686E"/>
    <w:rsid w:val="5F994316"/>
    <w:rsid w:val="5FA30C8D"/>
    <w:rsid w:val="5FEF0574"/>
    <w:rsid w:val="5FFC716E"/>
    <w:rsid w:val="600960BD"/>
    <w:rsid w:val="600E201D"/>
    <w:rsid w:val="60591866"/>
    <w:rsid w:val="605F052B"/>
    <w:rsid w:val="60BB42CE"/>
    <w:rsid w:val="61313E32"/>
    <w:rsid w:val="613A51F3"/>
    <w:rsid w:val="61655E91"/>
    <w:rsid w:val="618B5A4F"/>
    <w:rsid w:val="61DD02D7"/>
    <w:rsid w:val="61F60880"/>
    <w:rsid w:val="62BE1E54"/>
    <w:rsid w:val="631A2B9C"/>
    <w:rsid w:val="632F68AE"/>
    <w:rsid w:val="635C3B47"/>
    <w:rsid w:val="639037F0"/>
    <w:rsid w:val="63A64DC2"/>
    <w:rsid w:val="63AF7503"/>
    <w:rsid w:val="64882719"/>
    <w:rsid w:val="64A01811"/>
    <w:rsid w:val="64E831B8"/>
    <w:rsid w:val="65075D34"/>
    <w:rsid w:val="651E6BDA"/>
    <w:rsid w:val="65702D9F"/>
    <w:rsid w:val="65921AA2"/>
    <w:rsid w:val="65D75707"/>
    <w:rsid w:val="6618187B"/>
    <w:rsid w:val="661F0E5C"/>
    <w:rsid w:val="66456B14"/>
    <w:rsid w:val="66C11F13"/>
    <w:rsid w:val="66D659BE"/>
    <w:rsid w:val="66F81DD8"/>
    <w:rsid w:val="67391614"/>
    <w:rsid w:val="67E704B4"/>
    <w:rsid w:val="68127258"/>
    <w:rsid w:val="686139AD"/>
    <w:rsid w:val="68A70650"/>
    <w:rsid w:val="696077C1"/>
    <w:rsid w:val="69787200"/>
    <w:rsid w:val="697C5825"/>
    <w:rsid w:val="697D65C5"/>
    <w:rsid w:val="699F76FF"/>
    <w:rsid w:val="69CE6E20"/>
    <w:rsid w:val="6A132060"/>
    <w:rsid w:val="6A9260A0"/>
    <w:rsid w:val="6AD40467"/>
    <w:rsid w:val="6B364C7D"/>
    <w:rsid w:val="6B3D4C00"/>
    <w:rsid w:val="6B7D0AFE"/>
    <w:rsid w:val="6B9419A4"/>
    <w:rsid w:val="6BC77FCB"/>
    <w:rsid w:val="6BE41585"/>
    <w:rsid w:val="6C1256EA"/>
    <w:rsid w:val="6C1476AE"/>
    <w:rsid w:val="6C3A254B"/>
    <w:rsid w:val="6CAB169B"/>
    <w:rsid w:val="6CBE2DF9"/>
    <w:rsid w:val="6D050DAB"/>
    <w:rsid w:val="6D46375B"/>
    <w:rsid w:val="6D967C55"/>
    <w:rsid w:val="6DAA54AF"/>
    <w:rsid w:val="6DC413FE"/>
    <w:rsid w:val="6DFD1A82"/>
    <w:rsid w:val="6E076D69"/>
    <w:rsid w:val="6E62222D"/>
    <w:rsid w:val="6E7F14AD"/>
    <w:rsid w:val="6E89242D"/>
    <w:rsid w:val="6EE449F0"/>
    <w:rsid w:val="6EEB3FD1"/>
    <w:rsid w:val="6F253543"/>
    <w:rsid w:val="6F437969"/>
    <w:rsid w:val="6F926B42"/>
    <w:rsid w:val="6FC52A74"/>
    <w:rsid w:val="6FC565D0"/>
    <w:rsid w:val="6FDE4B71"/>
    <w:rsid w:val="709F5073"/>
    <w:rsid w:val="70DF5DB7"/>
    <w:rsid w:val="710769A7"/>
    <w:rsid w:val="71B66B18"/>
    <w:rsid w:val="723742E5"/>
    <w:rsid w:val="72604CD6"/>
    <w:rsid w:val="72DF5BFA"/>
    <w:rsid w:val="72F62F44"/>
    <w:rsid w:val="7304539B"/>
    <w:rsid w:val="731B5B01"/>
    <w:rsid w:val="735544D4"/>
    <w:rsid w:val="735E3EDB"/>
    <w:rsid w:val="73B74C9B"/>
    <w:rsid w:val="73D239B1"/>
    <w:rsid w:val="73D2750D"/>
    <w:rsid w:val="73E84818"/>
    <w:rsid w:val="741A77EC"/>
    <w:rsid w:val="742D4BB0"/>
    <w:rsid w:val="744523D5"/>
    <w:rsid w:val="745B7503"/>
    <w:rsid w:val="74A907A6"/>
    <w:rsid w:val="74AE1682"/>
    <w:rsid w:val="74B17A6A"/>
    <w:rsid w:val="752C70F1"/>
    <w:rsid w:val="7548217D"/>
    <w:rsid w:val="75846F2D"/>
    <w:rsid w:val="75BC66C7"/>
    <w:rsid w:val="75ED4AD2"/>
    <w:rsid w:val="76034BED"/>
    <w:rsid w:val="76601FDC"/>
    <w:rsid w:val="76B4114C"/>
    <w:rsid w:val="76D610EF"/>
    <w:rsid w:val="771A18F7"/>
    <w:rsid w:val="774553A6"/>
    <w:rsid w:val="776F591B"/>
    <w:rsid w:val="77B24750"/>
    <w:rsid w:val="77C81353"/>
    <w:rsid w:val="77D01FB6"/>
    <w:rsid w:val="78484242"/>
    <w:rsid w:val="7872306D"/>
    <w:rsid w:val="78E55401"/>
    <w:rsid w:val="78EF49CB"/>
    <w:rsid w:val="78F41CD4"/>
    <w:rsid w:val="79774D59"/>
    <w:rsid w:val="79E20842"/>
    <w:rsid w:val="79F00974"/>
    <w:rsid w:val="79FC7092"/>
    <w:rsid w:val="7A2E133F"/>
    <w:rsid w:val="7A682979"/>
    <w:rsid w:val="7B66217C"/>
    <w:rsid w:val="7B762E74"/>
    <w:rsid w:val="7BDA1655"/>
    <w:rsid w:val="7BE81FC4"/>
    <w:rsid w:val="7BF344C5"/>
    <w:rsid w:val="7BFD5343"/>
    <w:rsid w:val="7C1D1542"/>
    <w:rsid w:val="7C2154D6"/>
    <w:rsid w:val="7C6815AF"/>
    <w:rsid w:val="7CD460A4"/>
    <w:rsid w:val="7CDB5685"/>
    <w:rsid w:val="7D237AA8"/>
    <w:rsid w:val="7DD547CA"/>
    <w:rsid w:val="7DF05680"/>
    <w:rsid w:val="7E3B648D"/>
    <w:rsid w:val="7E67175F"/>
    <w:rsid w:val="7EB70333"/>
    <w:rsid w:val="7EE12CFA"/>
    <w:rsid w:val="7F0C1437"/>
    <w:rsid w:val="7F3472CE"/>
    <w:rsid w:val="7F5434CC"/>
    <w:rsid w:val="7F71399A"/>
    <w:rsid w:val="7F7E1C1E"/>
    <w:rsid w:val="7FB6418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w="http://schemas.openxmlformats.org/wordprocessingml/2006/main">
  <w:docDefaults>
    <w:rPrDefault>
      <w:rPr>
        <w:rFonts w:ascii="Times New Roman" w:hAnsi="Times New Roman" w:eastAsia="宋体" w:cs="Times New Roman"/>
      </w:rPr>
    </w:rPrDefault>
    <w:pPrDefault/>
  </w:docDefaults>
  <w:latentStyles w:defLockedState="false" w:defUIPriority="99" w:defSemiHidden="true" w:defUnhideWhenUsed="true" w:defQFormat="false" w:count="260">
    <w:lsdException w:name="Dark List Accent 2" w:uiPriority="70" w:semiHidden="false" w:unhideWhenUsed="false"/>
    <w:lsdException w:name="index 7" w:uiPriority="0" w:semiHidden="false" w:unhideWhenUsed="false"/>
    <w:lsdException w:name="HTML Address" w:uiPriority="0" w:semiHidden="false" w:unhideWhenUsed="false"/>
    <w:lsdException w:name="Emphasis" w:uiPriority="0" w:semiHidden="false" w:unhideWhenUsed="false" w:qFormat="true"/>
    <w:lsdException w:name="Table List 1" w:uiPriority="0" w:semiHidden="false" w:unhideWhenUsed="false"/>
    <w:lsdException w:name="Table Columns 1" w:uiPriority="0" w:semiHidden="false" w:unhideWhenUsed="false"/>
    <w:lsdException w:name="Medium List 1 Accent 5" w:uiPriority="65" w:semiHidden="false" w:unhideWhenUsed="false"/>
    <w:lsdException w:name="Table Simple 1" w:uiPriority="0" w:semiHidden="false" w:unhideWhenUsed="false"/>
    <w:lsdException w:name="Medium Grid 3 Accent 2" w:uiPriority="69" w:semiHidden="false" w:unhideWhenUsed="false"/>
    <w:lsdException w:name="index 4" w:uiPriority="0" w:semiHidden="false" w:unhideWhenUsed="false"/>
    <w:lsdException w:name="Table Grid 6" w:uiPriority="0" w:semiHidden="false" w:unhideWhenUsed="false"/>
    <w:lsdException w:name="Table List 3" w:uiPriority="0" w:semiHidden="false" w:unhideWhenUsed="false"/>
    <w:lsdException w:name="Table Colorful 2" w:uiPriority="0" w:semiHidden="false" w:unhideWhenUsed="false"/>
    <w:lsdException w:name="Medium Grid 2 Accent 5" w:uiPriority="68" w:semiHidden="false" w:unhideWhenUsed="false"/>
    <w:lsdException w:name="Colorful Grid Accent 6" w:uiPriority="73" w:semiHidden="false" w:unhideWhenUsed="false"/>
    <w:lsdException w:name="Table Professional" w:uiPriority="0" w:semiHidden="false" w:unhideWhenUsed="false"/>
    <w:lsdException w:name="toc 3" w:uiPriority="0" w:semiHidden="false" w:unhideWhenUsed="false"/>
    <w:lsdException w:name="header" w:uiPriority="99" w:semiHidden="false" w:unhideWhenUsed="false" w:qFormat="true"/>
    <w:lsdException w:name="Table Grid 5" w:uiPriority="0" w:semiHidden="false" w:unhideWhenUsed="false"/>
    <w:lsdException w:name="Medium Shading 2 Accent 4" w:uiPriority="64" w:semiHidden="false" w:unhideWhenUsed="false"/>
    <w:lsdException w:name="List 5" w:uiPriority="0" w:semiHidden="false" w:unhideWhenUsed="false"/>
    <w:lsdException w:name="Colorful List Accent 1" w:uiPriority="72" w:semiHidden="false" w:unhideWhenUsed="false"/>
    <w:lsdException w:name="List Bullet 3" w:uiPriority="0" w:semiHidden="false" w:unhideWhenUsed="false"/>
    <w:lsdException w:name="Colorful List Accent 4" w:uiPriority="72" w:semiHidden="false" w:unhideWhenUsed="false"/>
    <w:lsdException w:name="List Number 5" w:uiPriority="0" w:semiHidden="false" w:unhideWhenUsed="false"/>
    <w:lsdException w:name="Medium List 2" w:uiPriority="66" w:semiHidden="false" w:unhideWhenUsed="false"/>
    <w:lsdException w:name="Medium Grid 1 Accent 6" w:uiPriority="67" w:semiHidden="false" w:unhideWhenUsed="false"/>
    <w:lsdException w:name="Table List 4" w:uiPriority="0" w:semiHidden="false" w:unhideWhenUsed="false"/>
    <w:lsdException w:name="Light Shading Accent 3" w:uiPriority="60" w:semiHidden="false" w:unhideWhenUsed="false"/>
    <w:lsdException w:name="List Bullet" w:uiPriority="0" w:semiHidden="false" w:unhideWhenUsed="false"/>
    <w:lsdException w:name="Normal" w:uiPriority="0" w:semiHidden="false" w:unhideWhenUsed="false" w:qFormat="true"/>
    <w:lsdException w:name="toa heading" w:uiPriority="0" w:semiHidden="false" w:unhideWhenUsed="false"/>
    <w:lsdException w:name="Medium Shading 2 Accent 1" w:uiPriority="64" w:semiHidden="false" w:unhideWhenUsed="false"/>
    <w:lsdException w:name="Table Web 3" w:uiPriority="0" w:semiHidden="false" w:unhideWhenUsed="false"/>
    <w:lsdException w:name="Normal Table" w:uiPriority="99" w:semiHidden="false" w:unhideWhenUsed="false" w:qFormat="true"/>
    <w:lsdException w:name="List Number" w:uiPriority="0" w:semiHidden="false" w:unhideWhenUsed="false"/>
    <w:lsdException w:name="toc 5" w:uiPriority="0" w:semiHidden="false" w:unhideWhenUsed="false"/>
    <w:lsdException w:name="List Paragraph" w:uiPriority="1" w:semiHidden="false" w:unhideWhenUsed="false" w:qFormat="true"/>
    <w:lsdException w:name="Medium Grid 2 Accent 2" w:uiPriority="68" w:semiHidden="false" w:unhideWhenUsed="false"/>
    <w:lsdException w:name="Colorful Grid Accent 5" w:uiPriority="73" w:semiHidden="false" w:unhideWhenUsed="false"/>
    <w:lsdException w:name="Note Heading" w:uiPriority="0" w:semiHidden="false" w:unhideWhenUsed="false"/>
    <w:lsdException w:name="Medium List 2 Accent 2" w:uiPriority="66" w:semiHidden="false" w:unhideWhenUsed="false"/>
    <w:lsdException w:name="HTML Sample" w:uiPriority="0" w:semiHidden="false" w:unhideWhenUsed="false"/>
    <w:lsdException w:name="List Bullet 4" w:uiPriority="0" w:semiHidden="false" w:unhideWhenUsed="false"/>
    <w:lsdException w:name="Medium List 2 Accent 6" w:uiPriority="66" w:semiHidden="false" w:unhideWhenUsed="false"/>
    <w:lsdException w:name="envelope address" w:uiPriority="0" w:semiHidden="false" w:unhideWhenUsed="false"/>
    <w:lsdException w:name="Medium Shading 1 Accent 5" w:uiPriority="63" w:semiHidden="false" w:unhideWhenUsed="false"/>
    <w:lsdException w:name="Body Text First Indent" w:uiPriority="0" w:semiHidden="false" w:unhideWhenUsed="false"/>
    <w:lsdException w:name="Light List Accent 1" w:uiPriority="61" w:semiHidden="false" w:unhideWhenUsed="false"/>
    <w:lsdException w:name="Body Text Indent" w:uiPriority="99" w:semiHidden="false" w:unhideWhenUsed="false" w:qFormat="true"/>
    <w:lsdException w:name="Medium Grid 1 Accent 5" w:uiPriority="67" w:semiHidden="false" w:unhideWhenUsed="false"/>
    <w:lsdException w:name="Block Text" w:uiPriority="0" w:semiHidden="false" w:unhideWhenUsed="false"/>
    <w:lsdException w:name="macro" w:uiPriority="0" w:semiHidden="false" w:unhideWhenUsed="false"/>
    <w:lsdException w:name="index 1" w:uiPriority="0" w:semiHidden="false" w:unhideWhenUsed="false"/>
    <w:lsdException w:name="annotation reference" w:uiPriority="0" w:semiHidden="false" w:unhideWhenUsed="false"/>
    <w:lsdException w:name="index 8" w:uiPriority="0" w:semiHidden="false" w:unhideWhenUsed="false"/>
    <w:lsdException w:name="Medium Shading 2 Accent 3" w:uiPriority="64" w:semiHidden="false" w:unhideWhenUsed="false"/>
    <w:lsdException w:name="Medium Shading 1 Accent 3" w:uiPriority="63" w:semiHidden="false" w:unhideWhenUsed="false"/>
    <w:lsdException w:name="Medium Grid 3" w:uiPriority="69" w:semiHidden="false" w:unhideWhenUsed="false"/>
    <w:lsdException w:name="footer" w:uiPriority="99" w:semiHidden="false" w:unhideWhenUsed="false" w:qFormat="true"/>
    <w:lsdException w:name="Default Paragraph Font" w:uiPriority="1" w:semiHidden="false" w:unhideWhenUsed="false" w:qFormat="true"/>
    <w:lsdException w:name="Table Grid 2" w:uiPriority="0" w:semiHidden="false" w:unhideWhenUsed="false"/>
    <w:lsdException w:name="Medium List 2 Accent 4" w:uiPriority="66" w:semiHidden="false" w:unhideWhenUsed="false"/>
    <w:lsdException w:name="Table List 6" w:uiPriority="0" w:semiHidden="false" w:unhideWhenUsed="false"/>
    <w:lsdException w:name="Medium Grid 2 Accent 1" w:uiPriority="68" w:semiHidden="false" w:unhideWhenUsed="false"/>
    <w:lsdException w:name="Light Shading Accent 4" w:uiPriority="60" w:semiHidden="false" w:unhideWhenUsed="false"/>
    <w:lsdException w:name="heading 1" w:uiPriority="9" w:semiHidden="false" w:unhideWhenUsed="false" w:qFormat="true"/>
    <w:lsdException w:name="Table 3D effects 2" w:uiPriority="0" w:semiHidden="false" w:unhideWhenUsed="false"/>
    <w:lsdException w:name="heading 8" w:uiPriority="0" w:qFormat="true"/>
    <w:lsdException w:name="Table List 2" w:uiPriority="0" w:semiHidden="false" w:unhideWhenUsed="false"/>
    <w:lsdException w:name="Colorful Grid Accent 4" w:uiPriority="73" w:semiHidden="false" w:unhideWhenUsed="false"/>
    <w:lsdException w:name="Medium Shading 1 Accent 2" w:uiPriority="63" w:semiHidden="false" w:unhideWhenUsed="false"/>
    <w:lsdException w:name="List Number 4" w:uiPriority="0" w:semiHidden="false" w:unhideWhenUsed="false"/>
    <w:lsdException w:name="List 3" w:uiPriority="0" w:semiHidden="false" w:unhideWhenUsed="false"/>
    <w:lsdException w:name="Light Shading Accent 5" w:uiPriority="60" w:semiHidden="false" w:unhideWhenUsed="false"/>
    <w:lsdException w:name="Light Grid" w:uiPriority="62" w:semiHidden="false" w:unhideWhenUsed="false"/>
    <w:lsdException w:name="Table Colorful 1" w:uiPriority="0" w:semiHidden="false" w:unhideWhenUsed="false"/>
    <w:lsdException w:name="Salutation" w:uiPriority="0" w:semiHidden="false" w:unhideWhenUsed="false"/>
    <w:lsdException w:name="endnote text" w:uiPriority="0" w:semiHidden="false" w:unhideWhenUsed="false"/>
    <w:lsdException w:name="Table Web 2" w:uiPriority="0" w:semiHidden="false" w:unhideWhenUsed="false"/>
    <w:lsdException w:name="HTML Variable" w:uiPriority="0" w:semiHidden="false" w:unhideWhenUsed="false"/>
    <w:lsdException w:name="List" w:uiPriority="0" w:semiHidden="false" w:unhideWhenUsed="false"/>
    <w:lsdException w:name="Medium Grid 3 Accent 3" w:uiPriority="69" w:semiHidden="false" w:unhideWhenUsed="false"/>
    <w:lsdException w:name="toc 9" w:uiPriority="0" w:semiHidden="false" w:unhideWhenUsed="false"/>
    <w:lsdException w:name="List 2" w:uiPriority="0" w:semiHidden="false" w:unhideWhenUsed="false"/>
    <w:lsdException w:name="Colorful Shading Accent 1" w:uiPriority="71" w:semiHidden="false" w:unhideWhenUsed="false"/>
    <w:lsdException w:name="Medium Grid 2" w:uiPriority="68" w:semiHidden="false" w:unhideWhenUsed="false"/>
    <w:lsdException w:name="Normal (Web)" w:uiPriority="99" w:semiHidden="false" w:unhideWhenUsed="false" w:qFormat="true"/>
    <w:lsdException w:name="Colorful Grid Accent 2" w:uiPriority="73" w:semiHidden="false" w:unhideWhenUsed="false"/>
    <w:lsdException w:name="index 6" w:uiPriority="0" w:semiHidden="false" w:unhideWhenUsed="false"/>
    <w:lsdException w:name="heading 4" w:uiPriority="0" w:qFormat="true"/>
    <w:lsdException w:name="toc 1" w:uiPriority="39" w:semiHidden="false" w:unhideWhenUsed="false" w:qFormat="true"/>
    <w:lsdException w:name="HTML Preformatted" w:uiPriority="0" w:semiHidden="false" w:unhideWhenUsed="false"/>
    <w:lsdException w:name="Medium List 1 Accent 4" w:uiPriority="65" w:semiHidden="false" w:unhideWhenUsed="false"/>
    <w:lsdException w:name="Light List" w:uiPriority="61" w:semiHidden="false" w:unhideWhenUsed="false"/>
    <w:lsdException w:name="Table Contemporary" w:uiPriority="0" w:semiHidden="false" w:unhideWhenUsed="false"/>
    <w:lsdException w:name="Medium Grid 3 Accent 1" w:uiPriority="69" w:semiHidden="false" w:unhideWhenUsed="false"/>
    <w:lsdException w:name="Light Shading" w:uiPriority="60" w:semiHidden="false" w:unhideWhenUsed="false"/>
    <w:lsdException w:name="HTML Acronym" w:uiPriority="0" w:semiHidden="false" w:unhideWhenUsed="false"/>
    <w:lsdException w:name="HTML Definition" w:uiPriority="0" w:semiHidden="false" w:unhideWhenUsed="false"/>
    <w:lsdException w:name="Table 3D effects 3" w:uiPriority="0" w:semiHidden="false" w:unhideWhenUsed="false"/>
    <w:lsdException w:name="List Number 3" w:uiPriority="0" w:semiHidden="false" w:unhideWhenUsed="false"/>
    <w:lsdException w:name="Medium Grid 1" w:uiPriority="67" w:semiHidden="false" w:unhideWhenUsed="false"/>
    <w:lsdException w:name="Light Shading Accent 1" w:uiPriority="60" w:semiHidden="false" w:unhideWhenUsed="false"/>
    <w:lsdException w:name="Signature" w:uiPriority="0" w:semiHidden="false" w:unhideWhenUsed="false"/>
    <w:lsdException w:name="Colorful Shading Accent 4" w:uiPriority="71" w:semiHidden="false" w:unhideWhenUsed="false"/>
    <w:lsdException w:name="Colorful Shading Accent 6" w:uiPriority="71" w:semiHidden="false" w:unhideWhenUsed="false"/>
    <w:lsdException w:name="Body Text Indent 3" w:uiPriority="0" w:semiHidden="false" w:unhideWhenUsed="false"/>
    <w:lsdException w:name="List Number 2" w:uiPriority="0" w:semiHidden="false" w:unhideWhenUsed="false"/>
    <w:lsdException w:name="FollowedHyperlink" w:uiPriority="0" w:semiHidden="false" w:unhideWhenUsed="false"/>
    <w:lsdException w:name="Light Grid Accent 1" w:uiPriority="62" w:semiHidden="false" w:unhideWhenUsed="false"/>
    <w:lsdException w:name="page number" w:uiPriority="0" w:semiHidden="false" w:unhideWhenUsed="false"/>
    <w:lsdException w:name="Medium Grid 3 Accent 4" w:uiPriority="69" w:semiHidden="false" w:unhideWhenUsed="false"/>
    <w:lsdException w:name="List 4" w:uiPriority="0" w:semiHidden="false" w:unhideWhenUsed="false"/>
    <w:lsdException w:name="Table Simple 2" w:uiPriority="0" w:semiHidden="false" w:unhideWhenUsed="false"/>
    <w:lsdException w:name="Light Shading Accent 6" w:uiPriority="60" w:semiHidden="false" w:unhideWhenUsed="false"/>
    <w:lsdException w:name="Table List 7" w:uiPriority="0" w:semiHidden="false" w:unhideWhenUsed="false"/>
    <w:lsdException w:name="Medium List 1 Accent 6" w:uiPriority="65" w:semiHidden="false" w:unhideWhenUsed="false"/>
    <w:lsdException w:name="Light Grid Accent 4" w:uiPriority="62" w:semiHidden="false" w:unhideWhenUsed="false"/>
    <w:lsdException w:name="Medium Grid 2 Accent 3" w:uiPriority="68" w:semiHidden="false" w:unhideWhenUsed="false"/>
    <w:lsdException w:name="Table 3D effects 1" w:uiPriority="0" w:semiHidden="false" w:unhideWhenUsed="false"/>
    <w:lsdException w:name="Colorful Shading Accent 3" w:uiPriority="71" w:semiHidden="false" w:unhideWhenUsed="false"/>
    <w:lsdException w:name="annotation subject" w:uiPriority="0" w:semiHidden="false" w:unhideWhenUsed="false"/>
    <w:lsdException w:name="Colorful List" w:uiPriority="72" w:semiHidden="false" w:unhideWhenUsed="false"/>
    <w:lsdException w:name="Table Grid 8" w:uiPriority="0" w:semiHidden="false" w:unhideWhenUsed="false"/>
    <w:lsdException w:name="endnote reference" w:uiPriority="0" w:semiHidden="false" w:unhideWhenUsed="false"/>
    <w:lsdException w:name="Medium Grid 3 Accent 6" w:uiPriority="69" w:semiHidden="false" w:unhideWhenUsed="false"/>
    <w:lsdException w:name="Medium Shading 1 Accent 4" w:uiPriority="63" w:semiHidden="false" w:unhideWhenUsed="false"/>
    <w:lsdException w:name="Light List Accent 4" w:uiPriority="61" w:semiHidden="false" w:unhideWhenUsed="false"/>
    <w:lsdException w:name="Dark List Accent 1" w:uiPriority="70" w:semiHidden="false" w:unhideWhenUsed="false"/>
    <w:lsdException w:name="Medium Shading 2" w:uiPriority="64" w:semiHidden="false" w:unhideWhenUsed="false"/>
    <w:lsdException w:name="Dark List Accent 5" w:uiPriority="70" w:semiHidden="false" w:unhideWhenUsed="false"/>
    <w:lsdException w:name="Table Grid 4" w:uiPriority="0" w:semiHidden="false" w:unhideWhenUsed="false"/>
    <w:lsdException w:name="Dark List Accent 3" w:uiPriority="70" w:semiHidden="false" w:unhideWhenUsed="false"/>
    <w:lsdException w:name="List Continue 5" w:uiPriority="0" w:semiHidden="false" w:unhideWhenUsed="false"/>
    <w:lsdException w:name="Table Theme" w:uiPriority="0" w:semiHidden="false" w:unhideWhenUsed="false"/>
    <w:lsdException w:name="Colorful Shading Accent 2" w:uiPriority="71" w:semiHidden="false" w:unhideWhenUsed="false"/>
    <w:lsdException w:name="heading 6" w:uiPriority="0" w:qFormat="true"/>
    <w:lsdException w:name="Medium List 1 Accent 1" w:uiPriority="65" w:semiHidden="false" w:unhideWhenUsed="false"/>
    <w:lsdException w:name="Closing" w:uiPriority="0" w:semiHidden="false" w:unhideWhenUsed="false"/>
    <w:lsdException w:name="Medium Grid 2 Accent 4" w:uiPriority="68" w:semiHidden="false" w:unhideWhenUsed="false"/>
    <w:lsdException w:name="Medium Grid 3 Accent 5" w:uiPriority="69" w:semiHidden="false" w:unhideWhenUsed="false"/>
    <w:lsdException w:name="Colorful Shading Accent 5" w:uiPriority="71" w:semiHidden="false" w:unhideWhenUsed="false"/>
    <w:lsdException w:name="Light List Accent 6" w:uiPriority="61" w:semiHidden="false" w:unhideWhenUsed="false"/>
    <w:lsdException w:name="Table Subtle 1" w:uiPriority="0" w:semiHidden="false" w:unhideWhenUsed="false"/>
    <w:lsdException w:name="Medium Grid 1 Accent 3" w:uiPriority="67" w:semiHidden="false" w:unhideWhenUsed="false"/>
    <w:lsdException w:name="footnote reference" w:uiPriority="0" w:semiHidden="false" w:unhideWhenUsed="false"/>
    <w:lsdException w:name="List Continue 3" w:uiPriority="0" w:semiHidden="false" w:unhideWhenUsed="false"/>
    <w:lsdException w:name="Colorful Grid Accent 3" w:uiPriority="73" w:semiHidden="false" w:unhideWhenUsed="false"/>
    <w:lsdException w:name="Light Grid Accent 3" w:uiPriority="62" w:semiHidden="false" w:unhideWhenUsed="false"/>
    <w:lsdException w:name="HTML Typewriter" w:uiPriority="0" w:semiHidden="false" w:unhideWhenUsed="false"/>
    <w:lsdException w:name="Table Elegant" w:uiPriority="0" w:semiHidden="false" w:unhideWhenUsed="false"/>
    <w:lsdException w:name="heading 3" w:uiPriority="9" w:semiHidden="false" w:unhideWhenUsed="false" w:qFormat="true"/>
    <w:lsdException w:name="Table Classic 1" w:uiPriority="0" w:semiHidden="false" w:unhideWhenUsed="false"/>
    <w:lsdException w:name="Document Map" w:uiPriority="0" w:semiHidden="false" w:unhideWhenUsed="false"/>
    <w:lsdException w:name="toc 4" w:uiPriority="0" w:semiHidden="false" w:unhideWhenUsed="false"/>
    <w:lsdException w:name="Hyperlink" w:uiPriority="99" w:semiHidden="false" w:unhideWhenUsed="false" w:qFormat="true"/>
    <w:lsdException w:name="line number" w:uiPriority="0" w:semiHidden="false" w:unhideWhenUsed="false"/>
    <w:lsdException w:name="Table Grid 3" w:uiPriority="0" w:semiHidden="false" w:unhideWhenUsed="false"/>
    <w:lsdException w:name="heading 9" w:uiPriority="0" w:qFormat="true"/>
    <w:lsdException w:name="index 2" w:uiPriority="0" w:semiHidden="false" w:unhideWhenUsed="false"/>
    <w:lsdException w:name="Table Columns 3" w:uiPriority="0" w:semiHidden="false" w:unhideWhenUsed="false"/>
    <w:lsdException w:name="Colorful List Accent 3" w:uiPriority="72" w:semiHidden="false" w:unhideWhenUsed="false"/>
    <w:lsdException w:name="Medium List 1 Accent 2" w:uiPriority="65" w:semiHidden="false" w:unhideWhenUsed="false"/>
    <w:lsdException w:name="Colorful Shading" w:uiPriority="71" w:semiHidden="false" w:unhideWhenUsed="false"/>
    <w:lsdException w:name="table of authorities" w:uiPriority="0" w:semiHidden="false" w:unhideWhenUsed="false"/>
    <w:lsdException w:name="Light List Accent 3" w:uiPriority="61" w:semiHidden="false" w:unhideWhenUsed="false"/>
    <w:lsdException w:name="Table Classic 2" w:uiPriority="0" w:semiHidden="false" w:unhideWhenUsed="false"/>
    <w:lsdException w:name="Table Columns 5" w:uiPriority="0" w:semiHidden="false" w:unhideWhenUsed="false"/>
    <w:lsdException w:name="Dark List Accent 6" w:uiPriority="70" w:semiHidden="false" w:unhideWhenUsed="false"/>
    <w:lsdException w:name="Medium Shading 2 Accent 2" w:uiPriority="64" w:semiHidden="false" w:unhideWhenUsed="false"/>
    <w:lsdException w:name="List Continue 4" w:uiPriority="0" w:semiHidden="false" w:unhideWhenUsed="false"/>
    <w:lsdException w:name="toc 7" w:uiPriority="0" w:semiHidden="false" w:unhideWhenUsed="false"/>
    <w:lsdException w:name="Message Header" w:uiPriority="0" w:semiHidden="false" w:unhideWhenUsed="false"/>
    <w:lsdException w:name="Colorful List Accent 2" w:uiPriority="72" w:semiHidden="false" w:unhideWhenUsed="false"/>
    <w:lsdException w:name="E-mail Signature" w:uiPriority="0" w:semiHidden="false" w:unhideWhenUsed="false"/>
    <w:lsdException w:name="List Continue 2" w:uiPriority="0" w:semiHidden="false" w:unhideWhenUsed="false"/>
    <w:lsdException w:name="Normal Indent" w:uiPriority="0" w:semiHidden="false" w:unhideWhenUsed="false"/>
    <w:lsdException w:name="HTML Code" w:uiPriority="0" w:semiHidden="false" w:unhideWhenUsed="false"/>
    <w:lsdException w:name="heading 5" w:uiPriority="0" w:qFormat="true"/>
    <w:lsdException w:name="Medium List 1" w:uiPriority="65" w:semiHidden="false" w:unhideWhenUsed="false"/>
    <w:lsdException w:name="Dark List Accent 4" w:uiPriority="70" w:semiHidden="false" w:unhideWhenUsed="false"/>
    <w:lsdException w:name="Colorful List Accent 5" w:uiPriority="72" w:semiHidden="false" w:unhideWhenUsed="false"/>
    <w:lsdException w:name="Medium Grid 1 Accent 2" w:uiPriority="67" w:semiHidden="false" w:unhideWhenUsed="false"/>
    <w:lsdException w:name="Title" w:uiPriority="0" w:semiHidden="false" w:unhideWhenUsed="false" w:qFormat="true"/>
    <w:lsdException w:name="Body Text Indent 2" w:uiPriority="0" w:semiHidden="false" w:unhideWhenUsed="false"/>
    <w:lsdException w:name="Table Columns 4" w:uiPriority="0" w:semiHidden="false" w:unhideWhenUsed="false"/>
    <w:lsdException w:name="Body Text 2" w:uiPriority="99" w:semiHidden="false" w:unhideWhenUsed="false" w:qFormat="true"/>
    <w:lsdException w:name="Light Grid Accent 5" w:uiPriority="62" w:semiHidden="false" w:unhideWhenUsed="false"/>
    <w:lsdException w:name="index 9" w:uiPriority="0" w:semiHidden="false" w:unhideWhenUsed="false"/>
    <w:lsdException w:name="Medium List 2 Accent 1" w:uiPriority="66" w:semiHidden="false" w:unhideWhenUsed="false"/>
    <w:lsdException w:name="Date" w:uiPriority="0" w:semiHidden="false" w:unhideWhenUsed="false"/>
    <w:lsdException w:name="Table Colorful 3" w:uiPriority="0" w:semiHidden="false" w:unhideWhenUsed="false"/>
    <w:lsdException w:name="Dark List" w:uiPriority="70" w:semiHidden="false" w:unhideWhenUsed="false"/>
    <w:lsdException w:name="Plain Text" w:uiPriority="0" w:semiHidden="false" w:unhideWhenUsed="false"/>
    <w:lsdException w:name="Light List Accent 5" w:uiPriority="61" w:semiHidden="false" w:unhideWhenUsed="false"/>
    <w:lsdException w:name="Table Grid 1" w:uiPriority="0" w:semiHidden="false" w:unhideWhenUsed="false"/>
    <w:lsdException w:name="Medium Shading 2 Accent 5" w:uiPriority="64" w:semiHidden="false" w:unhideWhenUsed="false"/>
    <w:lsdException w:name="Medium Grid 1 Accent 4" w:uiPriority="67" w:semiHidden="false" w:unhideWhenUsed="false"/>
    <w:lsdException w:name="List Bullet 5" w:uiPriority="0" w:semiHidden="false" w:unhideWhenUsed="false"/>
    <w:lsdException w:name="Light Grid Accent 6" w:uiPriority="62" w:semiHidden="false" w:unhideWhenUsed="false"/>
    <w:lsdException w:name="Medium List 1 Accent 3" w:uiPriority="65" w:semiHidden="false" w:unhideWhenUsed="false"/>
    <w:lsdException w:name="HTML Cite" w:uiPriority="0" w:semiHidden="false" w:unhideWhenUsed="false"/>
    <w:lsdException w:name="Body Text" w:uiPriority="99" w:semiHidden="false" w:unhideWhenUsed="false" w:qFormat="true"/>
    <w:lsdException w:name="List Continue" w:uiPriority="0" w:semiHidden="false" w:unhideWhenUsed="false"/>
    <w:lsdException w:name="toc 2" w:uiPriority="39" w:semiHidden="false" w:unhideWhenUsed="false" w:qFormat="true"/>
    <w:lsdException w:name="Strong" w:uiPriority="22" w:semiHidden="false" w:unhideWhenUsed="false" w:qFormat="true"/>
    <w:lsdException w:name="table of figures" w:uiPriority="0" w:semiHidden="false" w:unhideWhenUsed="false"/>
    <w:lsdException w:name="Table Classic 3" w:uiPriority="0" w:semiHidden="false" w:unhideWhenUsed="false"/>
    <w:lsdException w:name="Medium List 2 Accent 3" w:uiPriority="66" w:semiHidden="false" w:unhideWhenUsed="false"/>
    <w:lsdException w:name="Medium Shading 2 Accent 6" w:uiPriority="64" w:semiHidden="false" w:unhideWhenUsed="false"/>
    <w:lsdException w:name="Colorful Grid" w:uiPriority="73" w:semiHidden="false" w:unhideWhenUsed="false"/>
    <w:lsdException w:name="Subtitle" w:uiPriority="0" w:semiHidden="false" w:unhideWhenUsed="false" w:qFormat="true"/>
    <w:lsdException w:name="heading 7" w:uiPriority="0" w:qFormat="true"/>
    <w:lsdException w:name="Medium Shading 1" w:uiPriority="63" w:semiHidden="false" w:unhideWhenUsed="false"/>
    <w:lsdException w:name="Table Grid 7" w:uiPriority="0" w:semiHidden="false" w:unhideWhenUsed="false"/>
    <w:lsdException w:name="annotation text" w:uiPriority="99" w:semiHidden="false" w:unhideWhenUsed="false" w:qFormat="true"/>
    <w:lsdException w:name="Table Subtle 2" w:uiPriority="0" w:semiHidden="false" w:unhideWhenUsed="false"/>
    <w:lsdException w:name="heading 2" w:uiPriority="9" w:semiHidden="false" w:unhideWhenUsed="false" w:qFormat="true"/>
    <w:lsdException w:name="List Bullet 2" w:uiPriority="0" w:semiHidden="false" w:unhideWhenUsed="false"/>
    <w:lsdException w:name="Colorful List Accent 6" w:uiPriority="72" w:semiHidden="false" w:unhideWhenUsed="false"/>
    <w:lsdException w:name="Table Classic 4" w:uiPriority="0" w:semiHidden="false" w:unhideWhenUsed="false"/>
    <w:lsdException w:name="Table Simple 3" w:uiPriority="0" w:semiHidden="false" w:unhideWhenUsed="false"/>
    <w:lsdException w:name="Colorful Grid Accent 1" w:uiPriority="73" w:semiHidden="false" w:unhideWhenUsed="false"/>
    <w:lsdException w:name="Light List Accent 2" w:uiPriority="61" w:semiHidden="false" w:unhideWhenUsed="false"/>
    <w:lsdException w:name="Medium List 2 Accent 5" w:uiPriority="66" w:semiHidden="false" w:unhideWhenUsed="false"/>
    <w:lsdException w:name="Medium Grid 1 Accent 1" w:uiPriority="67" w:semiHidden="false" w:unhideWhenUsed="false"/>
    <w:lsdException w:name="Body Text First Indent 2" w:uiPriority="99" w:semiHidden="false" w:unhideWhenUsed="false" w:qFormat="true"/>
    <w:lsdException w:name="Table Grid" w:uiPriority="39" w:semiHidden="false" w:unhideWhenUsed="false" w:qFormat="true"/>
    <w:lsdException w:name="Light Grid Accent 2" w:uiPriority="62" w:semiHidden="false" w:unhideWhenUsed="false"/>
    <w:lsdException w:name="index heading" w:uiPriority="0" w:semiHidden="false" w:unhideWhenUsed="false"/>
    <w:lsdException w:name="Light Shading Accent 2" w:uiPriority="60" w:semiHidden="false" w:unhideWhenUsed="false"/>
    <w:lsdException w:name="index 3" w:uiPriority="0" w:semiHidden="false" w:unhideWhenUsed="false"/>
    <w:lsdException w:name="Medium Shading 1 Accent 6" w:uiPriority="63" w:semiHidden="false" w:unhideWhenUsed="false"/>
    <w:lsdException w:name="Medium Grid 2 Accent 6" w:uiPriority="68" w:semiHidden="false" w:unhideWhenUsed="false"/>
    <w:lsdException w:name="footnote text" w:uiPriority="0" w:semiHidden="false" w:unhideWhenUsed="false"/>
    <w:lsdException w:name="index 5" w:uiPriority="0" w:semiHidden="false" w:unhideWhenUsed="false"/>
    <w:lsdException w:name="Table Columns 2" w:uiPriority="0" w:semiHidden="false" w:unhideWhenUsed="false"/>
    <w:lsdException w:name="envelope return" w:uiPriority="99" w:semiHidden="false" w:unhideWhenUsed="false" w:qFormat="true"/>
    <w:lsdException w:name="HTML Keyboard" w:uiPriority="0" w:semiHidden="false" w:unhideWhenUsed="false"/>
    <w:lsdException w:name="toc 6" w:uiPriority="0" w:semiHidden="false" w:unhideWhenUsed="false"/>
    <w:lsdException w:name="Table List 5" w:uiPriority="0" w:semiHidden="false" w:unhideWhenUsed="false"/>
    <w:lsdException w:name="Medium Shading 1 Accent 1" w:uiPriority="63" w:semiHidden="false" w:unhideWhenUsed="false"/>
    <w:lsdException w:name="Table List 8" w:uiPriority="0" w:semiHidden="false" w:unhideWhenUsed="false"/>
    <w:lsdException w:name="caption" w:uiPriority="0" w:qFormat="true"/>
    <w:lsdException w:name="toc 8" w:uiPriority="0" w:semiHidden="false" w:unhideWhenUsed="false"/>
    <w:lsdException w:name="Table Web 1" w:uiPriority="0" w:semiHidden="false" w:unhideWhenUsed="false"/>
    <w:lsdException w:name="Balloon Text" w:uiPriority="0" w:semiHidden="false" w:unhideWhenUsed="false"/>
    <w:lsdException w:name="Body Text 3" w:uiPriority="0" w:semiHidden="false" w:unhideWhenUsed="false"/>
  </w:latentStyles>
  <w:style w:type="character" w:styleId="000009" w:default="true">
    <w:name w:val="Default Paragraph Font"/>
    <w:uiPriority w:val="1"/>
    <w:qFormat/>
  </w:style>
  <w:style w:type="paragraph" w:styleId="00000f">
    <w:name w:val="footer"/>
    <w:basedOn w:val="000005"/>
    <w:uiPriority w:val="99"/>
    <w:qFormat/>
    <w:pPr>
      <w:tabs>
        <w:tab w:val="center" w:pos="4153"/>
        <w:tab w:val="right" w:pos="8306"/>
      </w:tabs>
      <w:snapToGrid w:val="false"/>
      <w:jc w:val="left"/>
    </w:pPr>
    <w:rPr>
      <w:sz w:val="18"/>
    </w:rPr>
  </w:style>
  <w:style w:type="paragraph" w:styleId="000031" w:customStyle="true">
    <w:name w:val="Table Paragraph1"/>
    <w:uiPriority w:val="1"/>
    <w:qFormat/>
    <w:pPr>
      <w:kinsoku w:val="false"/>
      <w:autoSpaceDE w:val="false"/>
      <w:autoSpaceDN w:val="false"/>
      <w:adjustRightInd w:val="false"/>
      <w:snapToGrid w:val="false"/>
      <w:spacing w:line="240" w:lineRule="auto"/>
      <w:jc w:val="center"/>
      <w:textAlignment w:val="baseline"/>
    </w:pPr>
    <w:rPr>
      <w:rFonts w:ascii="Times New Roman" w:hAnsi="Times New Roman" w:eastAsia="Times New Roman" w:cs="Times New Roman"/>
      <w:snapToGrid w:val="false"/>
      <w:color w:val="000000"/>
      <w:kern w:val="0"/>
      <w:sz w:val="21"/>
      <w:szCs w:val="21"/>
      <w:lang w:val="zh-CN" w:eastAsia="zh-CN" w:bidi="zh-CN"/>
    </w:rPr>
  </w:style>
  <w:style w:type="character" w:styleId="000033" w:customStyle="true">
    <w:name w:val="font101"/>
    <w:basedOn w:val="000009"/>
    <w:uiPriority w:val="0"/>
    <w:qFormat/>
    <w:rPr>
      <w:rFonts w:hint="default" w:ascii="Times New Roman" w:hAnsi="Times New Roman" w:cs="Times New Roman"/>
      <w:color w:val="000000"/>
      <w:sz w:val="14"/>
      <w:szCs w:val="14"/>
      <w:u w:val="none"/>
    </w:rPr>
  </w:style>
  <w:style w:type="paragraph" w:styleId="00000e">
    <w:name w:val="envelope return"/>
    <w:basedOn w:val="000005"/>
    <w:uiPriority w:val="99"/>
    <w:qFormat/>
    <w:pPr>
      <w:widowControl w:val="false"/>
      <w:kinsoku/>
      <w:autoSpaceDE/>
      <w:autoSpaceDN/>
      <w:adjustRightInd w:val="false"/>
      <w:snapToGrid w:val="false"/>
      <w:spacing w:line="240" w:lineRule="auto"/>
      <w:ind w:firstLine="0" w:firstLineChars="0"/>
      <w:jc w:val="both"/>
      <w:textAlignment w:val="auto"/>
    </w:pPr>
    <w:rPr>
      <w:rFonts w:ascii="Arial" w:hAnsi="Arial" w:eastAsia="宋体" w:cs="宋体"/>
      <w:snapToGrid/>
      <w:kern w:val="2"/>
      <w:szCs w:val="20"/>
      <w:lang w:eastAsia="zh-CN"/>
    </w:rPr>
  </w:style>
  <w:style w:type="character" w:styleId="000027" w:customStyle="true">
    <w:name w:val="font121"/>
    <w:basedOn w:val="000009"/>
    <w:uiPriority w:val="0"/>
    <w:qFormat/>
    <w:rPr>
      <w:rFonts w:hint="eastAsia" w:ascii="宋体" w:hAnsi="宋体" w:eastAsia="宋体" w:cs="宋体"/>
      <w:color w:val="000000"/>
      <w:sz w:val="14"/>
      <w:szCs w:val="14"/>
      <w:u w:val="none"/>
    </w:rPr>
  </w:style>
  <w:style w:type="table" w:styleId="00000a" w:default="true">
    <w:name w:val="Normal Table"/>
    <w:uiPriority w:val="99"/>
    <w:qFormat/>
    <w:tblPr>
      <w:tblCellMar>
        <w:top w:w="0" w:type="dxa"/>
        <w:left w:w="108" w:type="dxa"/>
        <w:bottom w:w="0" w:type="dxa"/>
        <w:right w:w="108" w:type="dxa"/>
      </w:tblCellMar>
    </w:tblPr>
  </w:style>
  <w:style w:type="paragraph" w:styleId="000014">
    <w:name w:val="Normal (Web)"/>
    <w:basedOn w:val="000005"/>
    <w:uiPriority w:val="99"/>
    <w:qFormat/>
    <w:pPr>
      <w:spacing w:before="0" w:beforeAutospacing="true" w:after="0" w:afterAutospacing="true"/>
      <w:ind w:left="0" w:right="0"/>
      <w:jc w:val="left"/>
    </w:pPr>
    <w:rPr>
      <w:kern w:val="0"/>
      <w:sz w:val="24"/>
      <w:lang w:val="en-US" w:eastAsia="zh-CN"/>
    </w:rPr>
  </w:style>
  <w:style w:type="character" w:styleId="000034" w:customStyle="true">
    <w:name w:val="font112"/>
    <w:basedOn w:val="000009"/>
    <w:uiPriority w:val="0"/>
    <w:qFormat/>
    <w:rPr>
      <w:rFonts w:hint="eastAsia" w:ascii="宋体" w:hAnsi="宋体" w:eastAsia="宋体" w:cs="宋体"/>
      <w:color w:val="000000"/>
      <w:sz w:val="14"/>
      <w:szCs w:val="14"/>
      <w:u w:val="none"/>
    </w:rPr>
  </w:style>
  <w:style w:type="character" w:styleId="000018">
    <w:name w:val="Hyperlink"/>
    <w:basedOn w:val="000009"/>
    <w:uiPriority w:val="99"/>
    <w:qFormat/>
    <w:rPr>
      <w:rFonts w:ascii="Times New Roman" w:hAnsi="Times New Roman" w:eastAsia="宋体" w:cs="Times New Roman"/>
      <w:color w:val="0000FF"/>
      <w:u w:val="single"/>
    </w:rPr>
  </w:style>
  <w:style w:type="paragraph" w:styleId="00002f" w:customStyle="true">
    <w:name w:val="Table Text"/>
    <w:basedOn w:val="000005"/>
    <w:uiPriority w:val="0"/>
    <w:qFormat/>
    <w:rPr>
      <w:rFonts w:ascii="仿宋" w:hAnsi="仿宋" w:eastAsia="仿宋" w:cs="仿宋"/>
      <w:sz w:val="20"/>
      <w:szCs w:val="20"/>
      <w:lang w:val="en-US" w:eastAsia="en-US" w:bidi="ar-SA"/>
    </w:rPr>
  </w:style>
  <w:style w:type="character" w:styleId="000023" w:customStyle="true">
    <w:name w:val="font122"/>
    <w:basedOn w:val="000009"/>
    <w:uiPriority w:val="0"/>
    <w:qFormat/>
    <w:rPr>
      <w:rFonts w:hint="eastAsia" w:ascii="宋体" w:hAnsi="宋体" w:eastAsia="宋体" w:cs="宋体"/>
      <w:color w:val="000000"/>
      <w:sz w:val="14"/>
      <w:szCs w:val="14"/>
      <w:u w:val="none"/>
    </w:rPr>
  </w:style>
  <w:style w:type="paragraph" w:styleId="00001e" w:customStyle="true">
    <w:name w:val="封面日期"/>
    <w:basedOn w:val="000005"/>
    <w:uiPriority w:val="0"/>
    <w:qFormat/>
    <w:pPr>
      <w:widowControl w:val="false"/>
      <w:kinsoku/>
      <w:autoSpaceDE/>
      <w:autoSpaceDN/>
      <w:adjustRightInd/>
      <w:snapToGrid/>
      <w:spacing w:line="240" w:lineRule="auto"/>
      <w:jc w:val="center"/>
      <w:textAlignment w:val="auto"/>
    </w:pPr>
    <w:rPr>
      <w:rFonts w:ascii="黑体" w:hAnsi="Times New Roman" w:eastAsia="黑体" w:cs="Times New Roman"/>
      <w:snapToGrid/>
      <w:kern w:val="2"/>
      <w:sz w:val="32"/>
      <w:szCs w:val="32"/>
      <w:lang w:eastAsia="zh-CN"/>
    </w:rPr>
  </w:style>
  <w:style w:type="character" w:styleId="000019" w:customStyle="true">
    <w:name w:val="font151"/>
    <w:basedOn w:val="000009"/>
    <w:uiPriority w:val="0"/>
    <w:qFormat/>
    <w:rPr>
      <w:rFonts w:hint="default" w:ascii="Times New Roman" w:hAnsi="Times New Roman" w:cs="Times New Roman"/>
      <w:color w:val="000000"/>
      <w:sz w:val="14"/>
      <w:szCs w:val="14"/>
      <w:u w:val="none"/>
    </w:rPr>
  </w:style>
  <w:style w:type="paragraph" w:styleId="000008">
    <w:name w:val="heading 3"/>
    <w:basedOn w:val="000005"/>
    <w:next w:val="000005"/>
    <w:uiPriority w:val="9"/>
    <w:qFormat/>
    <w:pPr>
      <w:keepNext/>
      <w:keepLines/>
      <w:spacing w:before="260" w:beforeAutospacing="false" w:after="260" w:afterAutospacing="false" w:line="413" w:lineRule="auto"/>
      <w:outlineLvl w:val="2"/>
    </w:pPr>
    <w:rPr>
      <w:rFonts w:ascii="Calibri" w:hAnsi="Calibri" w:eastAsia="黑体"/>
      <w:b/>
      <w:sz w:val="28"/>
    </w:rPr>
  </w:style>
  <w:style w:type="character" w:styleId="00001a" w:customStyle="true">
    <w:name w:val="font21"/>
    <w:basedOn w:val="000009"/>
    <w:uiPriority w:val="0"/>
    <w:qFormat/>
    <w:rPr>
      <w:rFonts w:ascii="Arial" w:hAnsi="Arial" w:cs="Arial"/>
      <w:color w:val="000000"/>
      <w:sz w:val="16"/>
      <w:szCs w:val="16"/>
      <w:u w:val="none"/>
    </w:rPr>
  </w:style>
  <w:style w:type="paragraph" w:styleId="000011">
    <w:name w:val="toc 1"/>
    <w:basedOn w:val="000005"/>
    <w:next w:val="000005"/>
    <w:uiPriority w:val="39"/>
    <w:qFormat/>
  </w:style>
  <w:style w:type="paragraph" w:styleId="000015">
    <w:name w:val="Body Text First Indent 2"/>
    <w:basedOn w:val="00000d"/>
    <w:uiPriority w:val="99"/>
    <w:qFormat/>
    <w:pPr>
      <w:spacing w:line="360" w:lineRule="auto"/>
      <w:ind w:firstLine="420"/>
    </w:pPr>
    <w:rPr>
      <w:szCs w:val="22"/>
    </w:rPr>
  </w:style>
  <w:style w:type="paragraph" w:styleId="00000c">
    <w:name w:val="Body Text"/>
    <w:basedOn w:val="000005"/>
    <w:uiPriority w:val="99"/>
    <w:qFormat/>
    <w:rPr>
      <w:rFonts w:ascii="Arial" w:hAnsi="Arial" w:eastAsia="Arial" w:cs="Arial"/>
      <w:sz w:val="21"/>
      <w:szCs w:val="21"/>
      <w:lang w:val="en-US" w:eastAsia="en-US" w:bidi="ar-SA"/>
    </w:rPr>
  </w:style>
  <w:style w:type="paragraph" w:styleId="000013">
    <w:name w:val="Body Text 2"/>
    <w:basedOn w:val="000005"/>
    <w:uiPriority w:val="99"/>
    <w:qFormat/>
    <w:rPr>
      <w:color w:val="0000FF"/>
    </w:rPr>
  </w:style>
  <w:style w:type="character" w:styleId="00002b" w:customStyle="true">
    <w:name w:val="font131"/>
    <w:basedOn w:val="000009"/>
    <w:uiPriority w:val="0"/>
    <w:qFormat/>
    <w:rPr>
      <w:rFonts w:hint="default" w:ascii="Times New Roman" w:hAnsi="Times New Roman" w:cs="Times New Roman"/>
      <w:color w:val="000000"/>
      <w:sz w:val="14"/>
      <w:szCs w:val="14"/>
      <w:u w:val="none"/>
    </w:rPr>
  </w:style>
  <w:style w:type="paragraph" w:styleId="00001f" w:customStyle="true">
    <w:name w:val="正文11"/>
    <w:uiPriority w:val="0"/>
    <w:qFormat/>
    <w:pPr>
      <w:widowControl w:val="false"/>
      <w:spacing w:line="360" w:lineRule="auto"/>
      <w:ind w:firstLine="200" w:firstLineChars="200"/>
      <w:jc w:val="both"/>
    </w:pPr>
    <w:rPr>
      <w:rFonts w:ascii="Times New Roman" w:hAnsi="Times New Roman" w:eastAsia="宋体" w:cs="Times New Roman"/>
      <w:kern w:val="2"/>
      <w:sz w:val="28"/>
      <w:szCs w:val="32"/>
      <w:lang w:val="en-US" w:eastAsia="zh-CN" w:bidi="ar-SA"/>
    </w:rPr>
  </w:style>
  <w:style w:type="paragraph" w:styleId="000007">
    <w:name w:val="heading 2"/>
    <w:basedOn w:val="000005"/>
    <w:next w:val="000005"/>
    <w:uiPriority w:val="9"/>
    <w:qFormat/>
    <w:pPr>
      <w:keepNext/>
      <w:keepLines/>
      <w:spacing w:before="260" w:beforeAutospacing="false" w:after="260" w:afterAutospacing="false" w:line="413" w:lineRule="auto"/>
      <w:outlineLvl w:val="1"/>
    </w:pPr>
    <w:rPr>
      <w:rFonts w:ascii="Arial" w:hAnsi="Arial" w:eastAsia="黑体"/>
      <w:b/>
      <w:sz w:val="30"/>
    </w:rPr>
  </w:style>
  <w:style w:type="paragraph" w:styleId="000026" w:customStyle="true">
    <w:name w:val="WPSOffice手动目录 2"/>
    <w:uiPriority w:val="0"/>
    <w:qFormat/>
    <w:pPr>
      <w:ind w:leftChars="200"/>
    </w:pPr>
    <w:rPr>
      <w:rFonts w:ascii="Times New Roman" w:hAnsi="Times New Roman" w:eastAsia="宋体" w:cs="Times New Roman"/>
      <w:sz w:val="20"/>
      <w:szCs w:val="20"/>
    </w:rPr>
  </w:style>
  <w:style w:type="paragraph" w:styleId="000028" w:customStyle="true">
    <w:name w:val="硕士学位论文"/>
    <w:basedOn w:val="000005"/>
    <w:uiPriority w:val="0"/>
    <w:qFormat/>
    <w:pPr>
      <w:widowControl w:val="false"/>
      <w:kinsoku/>
      <w:autoSpaceDE/>
      <w:autoSpaceDN/>
      <w:adjustRightInd/>
      <w:snapToGrid/>
      <w:spacing w:before="240" w:line="240" w:lineRule="auto"/>
      <w:jc w:val="center"/>
      <w:textAlignment w:val="auto"/>
    </w:pPr>
    <w:rPr>
      <w:rFonts w:ascii="Times New Roman" w:hAnsi="Times New Roman" w:eastAsia="宋体" w:cs="Times New Roman"/>
      <w:snapToGrid/>
      <w:kern w:val="2"/>
      <w:sz w:val="44"/>
      <w:szCs w:val="44"/>
      <w:lang w:eastAsia="zh-CN"/>
    </w:rPr>
  </w:style>
  <w:style w:type="character" w:styleId="00002d" w:customStyle="true">
    <w:name w:val="font61"/>
    <w:basedOn w:val="000009"/>
    <w:uiPriority w:val="0"/>
    <w:qFormat/>
    <w:rPr>
      <w:rFonts w:ascii="Arial" w:hAnsi="Arial" w:cs="Arial"/>
      <w:color w:val="000000"/>
      <w:sz w:val="16"/>
      <w:szCs w:val="16"/>
      <w:u w:val="none"/>
    </w:rPr>
  </w:style>
  <w:style w:type="character" w:styleId="000035" w:customStyle="true">
    <w:name w:val="font91"/>
    <w:basedOn w:val="000009"/>
    <w:uiPriority w:val="0"/>
    <w:qFormat/>
    <w:rPr>
      <w:rFonts w:hint="default" w:ascii="Times New Roman" w:hAnsi="Times New Roman" w:cs="Times New Roman"/>
      <w:color w:val="000000"/>
      <w:sz w:val="14"/>
      <w:szCs w:val="14"/>
      <w:u w:val="none"/>
    </w:rPr>
  </w:style>
  <w:style w:type="paragraph" w:styleId="00001d" w:customStyle="true">
    <w:name w:val="分类号"/>
    <w:basedOn w:val="000005"/>
    <w:uiPriority w:val="0"/>
    <w:qFormat/>
    <w:pPr>
      <w:widowControl w:val="false"/>
      <w:kinsoku/>
      <w:autoSpaceDE/>
      <w:autoSpaceDN/>
      <w:adjustRightInd/>
      <w:snapToGrid/>
      <w:spacing w:line="240" w:lineRule="auto"/>
      <w:jc w:val="both"/>
      <w:textAlignment w:val="auto"/>
    </w:pPr>
    <w:rPr>
      <w:rFonts w:ascii="仿宋_GB2312" w:hAnsi="Times New Roman" w:eastAsia="仿宋_GB2312" w:cs="Times New Roman"/>
      <w:snapToGrid/>
      <w:kern w:val="2"/>
      <w:sz w:val="28"/>
      <w:szCs w:val="28"/>
      <w:lang w:eastAsia="zh-CN"/>
    </w:rPr>
  </w:style>
  <w:style w:type="character" w:styleId="00002c" w:customStyle="true">
    <w:name w:val="font132"/>
    <w:basedOn w:val="000009"/>
    <w:uiPriority w:val="0"/>
    <w:qFormat/>
    <w:rPr>
      <w:rFonts w:hint="default" w:ascii="Times New Roman" w:hAnsi="Times New Roman" w:cs="Times New Roman"/>
      <w:color w:val="000000"/>
      <w:sz w:val="14"/>
      <w:szCs w:val="14"/>
      <w:u w:val="none"/>
    </w:rPr>
  </w:style>
  <w:style w:type="character" w:styleId="000017">
    <w:name w:val="Strong"/>
    <w:basedOn w:val="000009"/>
    <w:uiPriority w:val="22"/>
    <w:qFormat/>
    <w:rPr>
      <w:b/>
    </w:rPr>
  </w:style>
  <w:style w:type="character" w:styleId="000024" w:customStyle="true">
    <w:name w:val="font171"/>
    <w:basedOn w:val="000009"/>
    <w:uiPriority w:val="0"/>
    <w:qFormat/>
    <w:rPr>
      <w:rFonts w:hint="default" w:ascii="Times New Roman" w:hAnsi="Times New Roman" w:cs="Times New Roman"/>
      <w:color w:val="000000"/>
      <w:sz w:val="14"/>
      <w:szCs w:val="14"/>
      <w:u w:val="none"/>
    </w:rPr>
  </w:style>
  <w:style w:type="paragraph" w:styleId="000036" w:customStyle="true">
    <w:name w:val="WPSOffice手动目录 3"/>
    <w:uiPriority w:val="0"/>
    <w:qFormat/>
    <w:pPr>
      <w:ind w:leftChars="400"/>
    </w:pPr>
    <w:rPr>
      <w:rFonts w:ascii="Times New Roman" w:hAnsi="Times New Roman" w:eastAsia="宋体" w:cs="Times New Roman"/>
      <w:sz w:val="20"/>
      <w:szCs w:val="20"/>
    </w:rPr>
  </w:style>
  <w:style w:type="paragraph" w:styleId="000012">
    <w:name w:val="toc 2"/>
    <w:basedOn w:val="000005"/>
    <w:next w:val="000005"/>
    <w:uiPriority w:val="39"/>
    <w:qFormat/>
    <w:pPr>
      <w:ind w:left="420" w:leftChars="200"/>
    </w:pPr>
  </w:style>
  <w:style w:type="character" w:styleId="000020" w:customStyle="true">
    <w:name w:val="font51"/>
    <w:basedOn w:val="000009"/>
    <w:uiPriority w:val="0"/>
    <w:qFormat/>
    <w:rPr>
      <w:rFonts w:hint="default" w:ascii="Times New Roman" w:hAnsi="Times New Roman" w:cs="Times New Roman"/>
      <w:color w:val="000000"/>
      <w:sz w:val="16"/>
      <w:szCs w:val="16"/>
      <w:u w:val="none"/>
    </w:rPr>
  </w:style>
  <w:style w:type="paragraph" w:styleId="00002e" w:customStyle="true">
    <w:name w:val="Table Paragraph"/>
    <w:basedOn w:val="000005"/>
    <w:uiPriority w:val="1"/>
    <w:qFormat/>
    <w:pPr>
      <w:jc w:val="center"/>
    </w:pPr>
    <w:rPr>
      <w:rFonts w:ascii="Times New Roman" w:hAnsi="Times New Roman" w:eastAsia="Times New Roman" w:cs="Times New Roman"/>
      <w:lang w:val="zh-CN" w:eastAsia="zh-CN" w:bidi="zh-CN"/>
    </w:rPr>
  </w:style>
  <w:style w:type="table" w:styleId="000016">
    <w:name w:val="Table Grid"/>
    <w:basedOn w:val="00000a"/>
    <w:uiPriority w:val="3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000022" w:customStyle="true">
    <w:name w:val="font31"/>
    <w:basedOn w:val="000009"/>
    <w:uiPriority w:val="0"/>
    <w:qFormat/>
    <w:rPr>
      <w:rFonts w:hint="eastAsia" w:ascii="宋体" w:hAnsi="宋体" w:eastAsia="宋体" w:cs="宋体"/>
      <w:color w:val="000000"/>
      <w:sz w:val="18"/>
      <w:szCs w:val="18"/>
      <w:u w:val="none"/>
    </w:rPr>
  </w:style>
  <w:style w:type="character" w:styleId="000032" w:customStyle="true">
    <w:name w:val="font141"/>
    <w:basedOn w:val="000009"/>
    <w:uiPriority w:val="0"/>
    <w:qFormat/>
    <w:rPr>
      <w:rFonts w:hint="default" w:ascii="Times New Roman" w:hAnsi="Times New Roman" w:cs="Times New Roman"/>
      <w:color w:val="000000"/>
      <w:sz w:val="14"/>
      <w:szCs w:val="14"/>
      <w:u w:val="none"/>
    </w:rPr>
  </w:style>
  <w:style w:type="paragraph" w:styleId="000029" w:customStyle="true">
    <w:name w:val="WPSOffice手动目录 1"/>
    <w:uiPriority w:val="0"/>
    <w:qFormat/>
    <w:pPr>
      <w:ind w:leftChars="0"/>
    </w:pPr>
    <w:rPr>
      <w:rFonts w:ascii="Times New Roman" w:hAnsi="Times New Roman" w:eastAsia="宋体" w:cs="Times New Roman"/>
      <w:sz w:val="20"/>
      <w:szCs w:val="20"/>
    </w:rPr>
  </w:style>
  <w:style w:type="paragraph" w:styleId="00001b">
    <w:name w:val="List Paragraph"/>
    <w:basedOn w:val="000005"/>
    <w:uiPriority w:val="1"/>
    <w:qFormat/>
    <w:pPr>
      <w:ind w:left="220" w:firstLine="559"/>
    </w:pPr>
    <w:rPr>
      <w:rFonts w:ascii="仿宋" w:hAnsi="仿宋" w:eastAsia="仿宋" w:cs="仿宋"/>
      <w:lang w:val="zh-CN" w:eastAsia="zh-CN" w:bidi="zh-CN"/>
    </w:rPr>
  </w:style>
  <w:style w:type="paragraph" w:styleId="000005" w:default="true">
    <w:name w:val="Normal"/>
    <w:uiPriority w:val="0"/>
    <w:qFormat/>
    <w:pPr>
      <w:kinsoku w:val="false"/>
      <w:autoSpaceDE w:val="false"/>
      <w:autoSpaceDN w:val="false"/>
      <w:adjustRightInd w:val="false"/>
      <w:snapToGrid w:val="false"/>
      <w:spacing w:line="240" w:lineRule="auto"/>
      <w:jc w:val="left"/>
      <w:textAlignment w:val="baseline"/>
    </w:pPr>
    <w:rPr>
      <w:rFonts w:ascii="Arial" w:hAnsi="Arial" w:eastAsia="Arial" w:cs="Arial"/>
      <w:snapToGrid w:val="false"/>
      <w:color w:val="000000"/>
      <w:kern w:val="0"/>
      <w:sz w:val="21"/>
      <w:szCs w:val="21"/>
      <w:lang w:val="en-US" w:eastAsia="en-US" w:bidi="ar-SA"/>
    </w:rPr>
  </w:style>
  <w:style w:type="paragraph" w:styleId="00002a" w:customStyle="true">
    <w:name w:val="研究生姓名"/>
    <w:basedOn w:val="000005"/>
    <w:uiPriority w:val="0"/>
    <w:qFormat/>
    <w:pPr>
      <w:widowControl w:val="false"/>
      <w:kinsoku/>
      <w:autoSpaceDE/>
      <w:autoSpaceDN/>
      <w:adjustRightInd/>
      <w:snapToGrid/>
      <w:spacing w:line="240" w:lineRule="auto"/>
      <w:ind w:firstLine="700" w:firstLineChars="700"/>
      <w:jc w:val="both"/>
      <w:textAlignment w:val="auto"/>
    </w:pPr>
    <w:rPr>
      <w:rFonts w:ascii="Times New Roman" w:hAnsi="Times New Roman" w:eastAsia="宋体" w:cs="Times New Roman"/>
      <w:snapToGrid/>
      <w:kern w:val="2"/>
      <w:sz w:val="28"/>
      <w:szCs w:val="28"/>
      <w:lang w:eastAsia="zh-CN"/>
    </w:rPr>
  </w:style>
  <w:style w:type="paragraph" w:styleId="00000d">
    <w:name w:val="Body Text Indent"/>
    <w:basedOn w:val="000005"/>
    <w:next w:val="00000e"/>
    <w:uiPriority w:val="99"/>
    <w:qFormat/>
    <w:pPr>
      <w:widowControl w:val="false"/>
      <w:kinsoku/>
      <w:autoSpaceDE/>
      <w:autoSpaceDN/>
      <w:adjustRightInd/>
      <w:snapToGrid/>
      <w:spacing w:after="120" w:line="240" w:lineRule="auto"/>
      <w:ind w:left="420" w:leftChars="200"/>
      <w:jc w:val="both"/>
      <w:textAlignment w:val="auto"/>
    </w:pPr>
    <w:rPr>
      <w:rFonts w:ascii="Calibri" w:hAnsi="Calibri" w:eastAsia="宋体" w:cs="Times New Roman"/>
      <w:snapToGrid/>
      <w:kern w:val="2"/>
      <w:sz w:val="28"/>
      <w:szCs w:val="28"/>
      <w:lang w:eastAsia="zh-CN"/>
    </w:rPr>
  </w:style>
  <w:style w:type="paragraph" w:styleId="000010">
    <w:name w:val="header"/>
    <w:basedOn w:val="000005"/>
    <w:uiPriority w:val="99"/>
    <w:qFormat/>
    <w:pPr>
      <w:pBdr>
        <w:top w:val="none" w:color="auto" w:sz="0" w:space="1"/>
        <w:left w:val="none" w:color="auto" w:sz="0" w:space="4"/>
        <w:bottom w:val="none" w:color="auto" w:sz="0" w:space="1"/>
        <w:right w:val="none" w:color="auto" w:sz="0" w:space="4"/>
      </w:pBdr>
      <w:tabs>
        <w:tab w:val="center" w:pos="4153"/>
        <w:tab w:val="right" w:pos="8306"/>
      </w:tabs>
      <w:snapToGrid w:val="false"/>
      <w:spacing w:line="240" w:lineRule="auto"/>
      <w:jc w:val="both"/>
      <w:outlineLvl w:val="9"/>
    </w:pPr>
    <w:rPr>
      <w:sz w:val="18"/>
    </w:rPr>
  </w:style>
  <w:style w:type="table" w:styleId="000021" w:customStyle="true">
    <w:name w:val="Table Normal"/>
    <w:uiPriority w:val="0"/>
    <w:qFormat/>
    <w:tblPr>
      <w:tblCellMar>
        <w:top w:w="0" w:type="dxa"/>
        <w:left w:w="0" w:type="dxa"/>
        <w:bottom w:w="0" w:type="dxa"/>
        <w:right w:w="0" w:type="dxa"/>
      </w:tblCellMar>
    </w:tblPr>
  </w:style>
  <w:style w:type="paragraph" w:styleId="000030" w:customStyle="true">
    <w:name w:val="论文标题"/>
    <w:basedOn w:val="000005"/>
    <w:uiPriority w:val="0"/>
    <w:qFormat/>
    <w:pPr>
      <w:widowControl w:val="false"/>
      <w:kinsoku/>
      <w:autoSpaceDE/>
      <w:autoSpaceDN/>
      <w:adjustRightInd/>
      <w:snapToGrid/>
      <w:spacing w:line="240" w:lineRule="auto"/>
      <w:jc w:val="center"/>
      <w:textAlignment w:val="auto"/>
    </w:pPr>
    <w:rPr>
      <w:rFonts w:ascii="Times New Roman" w:hAnsi="Times New Roman" w:eastAsia="楷体_GB2312" w:cs="Times New Roman"/>
      <w:b/>
      <w:snapToGrid/>
      <w:kern w:val="36"/>
      <w:sz w:val="52"/>
      <w:szCs w:val="52"/>
      <w:lang w:eastAsia="zh-CN"/>
    </w:rPr>
  </w:style>
  <w:style w:type="character" w:styleId="00001c" w:customStyle="true">
    <w:name w:val="font11"/>
    <w:basedOn w:val="000009"/>
    <w:uiPriority w:val="0"/>
    <w:qFormat/>
    <w:rPr>
      <w:rFonts w:hint="eastAsia" w:ascii="宋体" w:hAnsi="宋体" w:eastAsia="宋体" w:cs="宋体"/>
      <w:color w:val="000000"/>
      <w:sz w:val="16"/>
      <w:szCs w:val="16"/>
      <w:u w:val="none"/>
    </w:rPr>
  </w:style>
  <w:style w:type="paragraph" w:styleId="000006">
    <w:name w:val="heading 1"/>
    <w:basedOn w:val="000005"/>
    <w:next w:val="000005"/>
    <w:uiPriority w:val="9"/>
    <w:qFormat/>
    <w:pPr>
      <w:keepNext/>
      <w:keepLines/>
      <w:spacing w:before="340" w:beforeAutospacing="false" w:after="330" w:afterAutospacing="false" w:line="576" w:lineRule="auto"/>
      <w:outlineLvl w:val="0"/>
    </w:pPr>
    <w:rPr>
      <w:rFonts w:ascii="Calibri" w:hAnsi="Calibri" w:eastAsia="黑体"/>
      <w:b/>
      <w:kern w:val="44"/>
      <w:sz w:val="36"/>
    </w:rPr>
  </w:style>
  <w:style w:type="character" w:styleId="000025" w:customStyle="true">
    <w:name w:val="font41"/>
    <w:basedOn w:val="000009"/>
    <w:uiPriority w:val="0"/>
    <w:qFormat/>
    <w:rPr>
      <w:rFonts w:hint="eastAsia" w:ascii="宋体" w:hAnsi="宋体" w:eastAsia="宋体" w:cs="宋体"/>
      <w:color w:val="000000"/>
      <w:sz w:val="16"/>
      <w:szCs w:val="16"/>
      <w:u w:val="none"/>
    </w:rPr>
  </w:style>
  <w:style w:type="paragraph" w:styleId="00000b">
    <w:name w:val="annotation text"/>
    <w:basedOn w:val="000005"/>
    <w:uiPriority w:val="99"/>
    <w:qFormat/>
    <w:pPr>
      <w:jc w:val="left"/>
    </w:pPr>
  </w:style>
  <w:style w:type="character" w:styleId="000037" w:customStyle="true">
    <w:name w:val="font01"/>
    <w:basedOn w:val="000009"/>
    <w:uiPriority w:val="0"/>
    <w:qFormat/>
    <w:rPr>
      <w:rFonts w:hint="eastAsia" w:ascii="宋体" w:hAnsi="宋体" w:eastAsia="宋体" w:cs="宋体"/>
      <w:color w:val="FF0000"/>
      <w:sz w:val="21"/>
      <w:szCs w:val="21"/>
      <w:u w:val="none"/>
    </w:rPr>
  </w:style>
</w:styles>
</file>

<file path=word/_rels/document.xml.rels><?xml version="1.0" encoding="UTF-8" standalone="yes"?><Relationships xmlns="http://schemas.openxmlformats.org/package/2006/relationships"><Relationship Id="rId8" Type="http://schemas.openxmlformats.org/officeDocument/2006/relationships/image" Target="media/image2.png" /><Relationship Id="rId6" Type="http://schemas.openxmlformats.org/officeDocument/2006/relationships/footer" Target="footer1.xml" /><Relationship Id="rId5" Type="http://schemas.openxmlformats.org/officeDocument/2006/relationships/theme" Target="theme/theme1.xml" /><Relationship Id="rId4" Type="http://schemas.openxmlformats.org/officeDocument/2006/relationships/fontTable" Target="fontTable.xml" /><Relationship Id="rId31" Type="http://schemas.openxmlformats.org/officeDocument/2006/relationships/image" Target="media/image25.jpg" /><Relationship Id="rId3" Type="http://schemas.openxmlformats.org/officeDocument/2006/relationships/endnotes" Target="endnotes.xml" /><Relationship Id="rId29" Type="http://schemas.openxmlformats.org/officeDocument/2006/relationships/image" Target="media/image23.png" /><Relationship Id="rId30" Type="http://schemas.openxmlformats.org/officeDocument/2006/relationships/image" Target="media/image24.jpg" /><Relationship Id="rId26" Type="http://schemas.openxmlformats.org/officeDocument/2006/relationships/image" Target="media/image20.png" /><Relationship Id="rId25" Type="http://schemas.openxmlformats.org/officeDocument/2006/relationships/image" Target="media/image19.png" /><Relationship Id="rId24" Type="http://schemas.openxmlformats.org/officeDocument/2006/relationships/image" Target="media/image18.jpg" /><Relationship Id="rId11" Type="http://schemas.openxmlformats.org/officeDocument/2006/relationships/image" Target="media/image5.png" /><Relationship Id="rId9" Type="http://schemas.openxmlformats.org/officeDocument/2006/relationships/image" Target="media/image3.jpg" /><Relationship Id="rId13" Type="http://schemas.openxmlformats.org/officeDocument/2006/relationships/image" Target="media/image7.png" /><Relationship Id="rId1" Type="http://schemas.openxmlformats.org/officeDocument/2006/relationships/settings" Target="settings.xml" /><Relationship Id="rId10" Type="http://schemas.openxmlformats.org/officeDocument/2006/relationships/image" Target="media/image4.jpg" /><Relationship Id="rId7" Type="http://schemas.openxmlformats.org/officeDocument/2006/relationships/image" Target="media/image1.png" /><Relationship Id="rId16" Type="http://schemas.openxmlformats.org/officeDocument/2006/relationships/image" Target="media/image10.png" /><Relationship Id="rId28" Type="http://schemas.openxmlformats.org/officeDocument/2006/relationships/image" Target="media/image22.png" /><Relationship Id="rId12" Type="http://schemas.openxmlformats.org/officeDocument/2006/relationships/image" Target="media/image6.png" /><Relationship Id="rId27" Type="http://schemas.openxmlformats.org/officeDocument/2006/relationships/image" Target="media/image21.png" /><Relationship Id="rId2" Type="http://schemas.openxmlformats.org/officeDocument/2006/relationships/footnotes" Target="footnotes.xml" /><Relationship Id="rId21" Type="http://schemas.openxmlformats.org/officeDocument/2006/relationships/image" Target="media/image15.png" /><Relationship Id="rId14" Type="http://schemas.openxmlformats.org/officeDocument/2006/relationships/image" Target="media/image8.png" /><Relationship Id="rId0" Type="http://schemas.openxmlformats.org/officeDocument/2006/relationships/styles" Target="styles.xml" /><Relationship Id="rId15" Type="http://schemas.openxmlformats.org/officeDocument/2006/relationships/image" Target="media/image9.png" /><Relationship Id="rId23" Type="http://schemas.openxmlformats.org/officeDocument/2006/relationships/image" Target="media/image17.png" /><Relationship Id="rId17" Type="http://schemas.openxmlformats.org/officeDocument/2006/relationships/image" Target="media/image11.jpg" /><Relationship Id="rId18" Type="http://schemas.openxmlformats.org/officeDocument/2006/relationships/image" Target="media/image12.jpg" /><Relationship Id="rId32" Type="http://schemas.openxmlformats.org/officeDocument/2006/relationships/image" Target="media/image26.jpg" /><Relationship Id="rId19" Type="http://schemas.openxmlformats.org/officeDocument/2006/relationships/image" Target="media/image13.png" /><Relationship Id="rId20" Type="http://schemas.openxmlformats.org/officeDocument/2006/relationships/image" Target="media/image14.png" /><Relationship Id="rId22" Type="http://schemas.openxmlformats.org/officeDocument/2006/relationships/image" Target="media/image1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false">
              <a:srgbClr val="000000">
                <a:alpha val="38000"/>
              </a:srgbClr>
            </a:outerShdw>
          </a:effectLst>
        </a:effectStyle>
        <a:effectStyle>
          <a:effectLst>
            <a:outerShdw blurRad="40000" dist="23000" dir="5400000" rotWithShape="false">
              <a:srgbClr val="000000">
                <a:alpha val="35000"/>
              </a:srgbClr>
            </a:outerShdw>
          </a:effectLst>
        </a:effectStyle>
        <a:effectStyle>
          <a:effectLst>
            <a:outerShdw blurRad="40000" dist="23000" dir="5400000" rotWithShape="false">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2025-12-02T08:50:04Z</dcterms:created>
  <dcterms:modified xsi:type="dcterms:W3CDTF">2025-12-02T08:50:04Z</dcterms:modified>
</cp:coreProperties>
</file>