
<file path=[Content_Types].xml><?xml version="1.0" encoding="utf-8"?>
<Types xmlns="http://schemas.openxmlformats.org/package/2006/content-types">
  <Default Extension="png" ContentType="image/png"/>
  <Default Extension="jpg" ContentType="image/jpeg"/>
  <Default Extension="rels" ContentType="application/vnd.openxmlformats-package.relationships+xml"/>
  <Default Extension="xml" ContentType="application/xml"/>
  <Override PartName="/word/footnotes.xml" ContentType="application/vnd.openxmlformats-officedocument.wordprocessingml.footnotes+xml"/>
  <Override PartName="/word/document.xml" ContentType="application/vnd.openxmlformats-officedocument.wordprocessingml.document.main+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a="http://schemas.openxmlformats.org/drawingml/2006/main" xmlns:r="http://schemas.openxmlformats.org/officeDocument/2006/relationships" xmlns:wp="http://schemas.openxmlformats.org/drawingml/2006/wordprocessingDrawing" xmlns:pic="http://schemas.openxmlformats.org/drawingml/2006/picture" xmlns:w15="http://schemas.microsoft.com/office/word/2012/wordml" xmlns:mc="http://schemas.openxmlformats.org/markup-compatibility/2006" mc:Ignorable="w14 w15">
  <w:body>
    <w:p>
      <w:pPr>
        <w:rPr>
          <w:rFonts w:hint="eastAsia" w:eastAsia="宋体"/>
          <w:lang w:val="en-US" w:eastAsia="zh-CN"/>
        </w:rPr>
      </w:pP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outlineLvl w:val="9"/>
        <w:rPr>
          <w:rFonts w:hint="eastAsia" w:ascii="宋体" w:hAnsi="宋体" w:eastAsia="宋体" w:cs="宋体"/>
          <w:b/>
          <w:bCs/>
          <w:snapToGrid w:val="false"/>
          <w:color w:val="000000"/>
          <w:kern w:val="0"/>
          <w:sz w:val="52"/>
          <w:szCs w:val="52"/>
          <w:lang w:val="en-US" w:eastAsia="zh-CN"/>
        </w:rPr>
      </w:pPr>
      <w:r>
        <w:rPr>
          <w:rFonts w:hint="eastAsia" w:ascii="宋体" w:hAnsi="宋体" w:eastAsia="宋体" w:cs="宋体"/>
          <w:b/>
          <w:bCs/>
          <w:snapToGrid w:val="false"/>
          <w:color w:val="000000"/>
          <w:kern w:val="0"/>
          <w:sz w:val="52"/>
          <w:szCs w:val="52"/>
          <w:lang w:val="en-US" w:eastAsia="zh-CN"/>
        </w:rPr>
        <w:t>河南大成包装材料有限公司源网荷储一体化项目</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false"/>
          <w:color w:val="000000"/>
          <w:kern w:val="0"/>
          <w:sz w:val="52"/>
          <w:szCs w:val="52"/>
          <w:lang w:val="en-US" w:eastAsia="zh-CN"/>
        </w:rPr>
        <w:t>可行性研究报告</w:t>
      </w:r>
    </w:p>
    <w:bookmarkStart w:id="1" w:name="_Toc396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建设单位：</w:t>
      </w:r>
      <w:bookmarkEnd w:id="1"/>
      <w:r>
        <w:rPr>
          <w:rFonts w:hint="eastAsia" w:ascii="宋体" w:hAnsi="宋体" w:eastAsia="宋体" w:cs="宋体"/>
          <w:b/>
          <w:bCs/>
          <w:sz w:val="36"/>
          <w:szCs w:val="36"/>
          <w:lang w:val="en-US" w:eastAsia="zh-CN"/>
        </w:rPr>
        <w:t>获嘉县产业集聚区创业孵化园有限公司</w:t>
      </w:r>
    </w:p>
    <w:bookmarkStart w:id="2" w:name="_Toc3209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编制单位：北京新元工程咨询有限公司</w:t>
      </w:r>
      <w:bookmarkEnd w:id="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编制日期：2025年1月</w:t>
      </w:r>
    </w:p>
    <w:bookmarkStart w:id="3" w:name="_Toc32442"/>
    <w:bookmarkStart w:id="4" w:name="_Toc32307"/>
    <w:bookmarkStart w:id="5" w:name="_Toc13134"/>
    <w:p>
      <w:pPr>
        <w:rPr>
          <w:rFonts w:hint="eastAsia" w:ascii="宋体" w:hAnsi="宋体" w:eastAsia="宋体" w:cs="宋体"/>
        </w:rPr>
      </w:pPr>
      <w:r>
        <w:rPr>
          <w:rFonts w:hint="eastAsia" w:ascii="宋体" w:hAnsi="宋体" w:eastAsia="宋体" w:cs="宋体"/>
        </w:rPr>
        <w:br w:type="page"/>
      </w:r>
    </w:p>
    <w:sdt>
      <w:sdtPr>
        <w:rPr>
          <w:rFonts w:ascii="宋体" w:hAnsi="宋体" w:eastAsia="宋体" w:cs="Arial"/>
          <w:snapToGrid w:val="false"/>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false"/>
          <w:color w:val="000000"/>
          <w:kern w:val="0"/>
          <w:sz w:val="21"/>
          <w:szCs w:val="21"/>
          <w:lang w:val="en-US" w:eastAsia="en-US" w:bidi="ar-SA"/>
        </w:rPr>
      </w:sdtEndPr>
      <w:sdtContent>
        <w:p>
          <w:pPr>
            <w:keepNext w:val="false"/>
            <w:keepLines w:val="false"/>
            <w:pageBreakBefore w:val="false"/>
            <w:widowControl/>
            <w:wordWrap/>
            <w:overflowPunct/>
            <w:topLinePunct w:val="false"/>
            <w:bidi w:val="false"/>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w:t>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_Toc4323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_Toc4323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_Toc16535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_Toc16535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_Toc13521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_Toc13521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_Toc13077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_Toc13077 \h </w:instrText>
          </w:r>
          <w:r>
            <w:rPr>
              <w:rFonts w:hint="eastAsia" w:ascii="宋体" w:hAnsi="宋体" w:eastAsia="宋体" w:cs="宋体"/>
              <w:sz w:val="24"/>
              <w:szCs w:val="24"/>
            </w:rPr>
            <w:fldChar w:fldCharType="separate"/>
          </w:r>
          <w:r>
            <w:rPr>
              <w:rFonts w:hint="eastAsia" w:ascii="宋体" w:hAnsi="宋体" w:eastAsia="宋体" w:cs="宋体"/>
              <w:sz w:val="24"/>
              <w:szCs w:val="24"/>
            </w:rPr>
            <w:t>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_Toc14497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_Toc14497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_Toc13156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_Toc13156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_Toc15254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_Toc15254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_Toc10622 </w:instrText>
          </w:r>
          <w:r>
            <w:rPr>
              <w:rFonts w:hint="eastAsia" w:ascii="宋体" w:hAnsi="宋体" w:eastAsia="宋体" w:cs="宋体"/>
              <w:sz w:val="24"/>
              <w:szCs w:val="24"/>
            </w:rPr>
            <w:fldChar w:fldCharType="separate"/>
          </w:r>
          <w:r>
            <w:rPr>
              <w:rFonts w:hint="eastAsia" w:ascii="宋体" w:hAnsi="宋体" w:eastAsia="宋体" w:cs="宋体"/>
              <w:bCs/>
              <w:sz w:val="24"/>
              <w:szCs w:val="24"/>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_Toc10622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_Toc15483 </w:instrText>
          </w:r>
          <w:r>
            <w:rPr>
              <w:rFonts w:hint="eastAsia" w:ascii="宋体" w:hAnsi="宋体" w:eastAsia="宋体" w:cs="宋体"/>
              <w:sz w:val="24"/>
              <w:szCs w:val="24"/>
            </w:rPr>
            <w:fldChar w:fldCharType="separate"/>
          </w:r>
          <w:r>
            <w:rPr>
              <w:rFonts w:hint="eastAsia" w:ascii="宋体" w:hAnsi="宋体" w:eastAsia="宋体" w:cs="宋体"/>
              <w:bCs/>
              <w:sz w:val="24"/>
              <w:szCs w:val="24"/>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_Toc15483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_Toc23765 </w:instrText>
          </w:r>
          <w:r>
            <w:rPr>
              <w:rFonts w:hint="eastAsia" w:ascii="宋体" w:hAnsi="宋体" w:eastAsia="宋体" w:cs="宋体"/>
              <w:sz w:val="24"/>
              <w:szCs w:val="24"/>
            </w:rPr>
            <w:fldChar w:fldCharType="separate"/>
          </w:r>
          <w:r>
            <w:rPr>
              <w:rFonts w:hint="eastAsia" w:ascii="宋体" w:hAnsi="宋体" w:eastAsia="宋体" w:cs="宋体"/>
              <w:bCs/>
              <w:sz w:val="24"/>
              <w:szCs w:val="24"/>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_Toc23765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_Toc24965 </w:instrText>
          </w:r>
          <w:r>
            <w:rPr>
              <w:rFonts w:hint="eastAsia" w:ascii="宋体" w:hAnsi="宋体" w:eastAsia="宋体" w:cs="宋体"/>
              <w:sz w:val="24"/>
              <w:szCs w:val="24"/>
            </w:rPr>
            <w:fldChar w:fldCharType="separate"/>
          </w:r>
          <w:r>
            <w:rPr>
              <w:rFonts w:hint="eastAsia" w:ascii="宋体" w:hAnsi="宋体" w:eastAsia="宋体" w:cs="宋体"/>
              <w:bCs/>
              <w:sz w:val="24"/>
              <w:szCs w:val="24"/>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_Toc24965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_Toc3371 </w:instrText>
          </w:r>
          <w:r>
            <w:rPr>
              <w:rFonts w:hint="eastAsia" w:ascii="宋体" w:hAnsi="宋体" w:eastAsia="宋体" w:cs="宋体"/>
              <w:sz w:val="24"/>
              <w:szCs w:val="24"/>
            </w:rPr>
            <w:fldChar w:fldCharType="separate"/>
          </w:r>
          <w:r>
            <w:rPr>
              <w:rFonts w:hint="eastAsia" w:ascii="宋体" w:hAnsi="宋体" w:eastAsia="宋体" w:cs="宋体"/>
              <w:bCs/>
              <w:sz w:val="24"/>
              <w:szCs w:val="24"/>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_Toc3371 \h </w:instrText>
          </w:r>
          <w:r>
            <w:rPr>
              <w:rFonts w:hint="eastAsia" w:ascii="宋体" w:hAnsi="宋体" w:eastAsia="宋体" w:cs="宋体"/>
              <w:sz w:val="24"/>
              <w:szCs w:val="24"/>
            </w:rPr>
            <w:fldChar w:fldCharType="separate"/>
          </w:r>
          <w:r>
            <w:rPr>
              <w:rFonts w:hint="eastAsia" w:ascii="宋体" w:hAnsi="宋体" w:eastAsia="宋体" w:cs="宋体"/>
              <w:sz w:val="24"/>
              <w:szCs w:val="24"/>
            </w:rPr>
            <w:t>33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_Toc23623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_Toc23623 \h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_Toc15162 </w:instrText>
          </w:r>
          <w:r>
            <w:rPr>
              <w:rFonts w:hint="eastAsia" w:ascii="宋体" w:hAnsi="宋体" w:eastAsia="宋体" w:cs="宋体"/>
              <w:sz w:val="24"/>
              <w:szCs w:val="24"/>
            </w:rPr>
            <w:fldChar w:fldCharType="separate"/>
          </w:r>
          <w:r>
            <w:rPr>
              <w:rFonts w:hint="eastAsia" w:ascii="宋体" w:hAnsi="宋体" w:eastAsia="宋体" w:cs="宋体"/>
              <w:bCs/>
              <w:sz w:val="24"/>
              <w:szCs w:val="24"/>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_Toc15162 \h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_Toc12861 </w:instrText>
          </w:r>
          <w:r>
            <w:rPr>
              <w:rFonts w:hint="eastAsia" w:ascii="宋体" w:hAnsi="宋体" w:eastAsia="宋体" w:cs="宋体"/>
              <w:sz w:val="24"/>
              <w:szCs w:val="24"/>
            </w:rPr>
            <w:fldChar w:fldCharType="separate"/>
          </w:r>
          <w:r>
            <w:rPr>
              <w:rFonts w:hint="eastAsia" w:ascii="宋体" w:hAnsi="宋体" w:eastAsia="宋体" w:cs="宋体"/>
              <w:bCs/>
              <w:sz w:val="24"/>
              <w:szCs w:val="24"/>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_Toc12861 \h </w:instrText>
          </w:r>
          <w:r>
            <w:rPr>
              <w:rFonts w:hint="eastAsia" w:ascii="宋体" w:hAnsi="宋体" w:eastAsia="宋体" w:cs="宋体"/>
              <w:sz w:val="24"/>
              <w:szCs w:val="24"/>
            </w:rPr>
            <w:fldChar w:fldCharType="separate"/>
          </w:r>
          <w:r>
            <w:rPr>
              <w:rFonts w:hint="eastAsia" w:ascii="宋体" w:hAnsi="宋体" w:eastAsia="宋体" w:cs="宋体"/>
              <w:sz w:val="24"/>
              <w:szCs w:val="24"/>
            </w:rPr>
            <w:t>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_Toc26511 </w:instrText>
          </w:r>
          <w:r>
            <w:rPr>
              <w:rFonts w:hint="eastAsia" w:ascii="宋体" w:hAnsi="宋体" w:eastAsia="宋体" w:cs="宋体"/>
              <w:sz w:val="24"/>
              <w:szCs w:val="24"/>
            </w:rPr>
            <w:fldChar w:fldCharType="separate"/>
          </w:r>
          <w:r>
            <w:rPr>
              <w:rFonts w:hint="eastAsia" w:ascii="宋体" w:hAnsi="宋体" w:eastAsia="宋体" w:cs="宋体"/>
              <w:i w:val="false"/>
              <w:strike w:val="false"/>
              <w:spacing w:val="0"/>
              <w:sz w:val="24"/>
              <w:szCs w:val="24"/>
              <w:vertAlign w:val="baseline"/>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_Toc26511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_Toc14010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_Toc14010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_Toc323 </w:instrText>
          </w:r>
          <w:r>
            <w:rPr>
              <w:rFonts w:hint="eastAsia" w:ascii="宋体" w:hAnsi="宋体" w:eastAsia="宋体" w:cs="宋体"/>
              <w:sz w:val="24"/>
              <w:szCs w:val="24"/>
            </w:rPr>
            <w:fldChar w:fldCharType="separate"/>
          </w:r>
          <w:r>
            <w:rPr>
              <w:rFonts w:hint="eastAsia" w:ascii="宋体" w:hAnsi="宋体" w:eastAsia="宋体" w:cs="宋体"/>
              <w:bCs/>
              <w:sz w:val="24"/>
              <w:szCs w:val="24"/>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_Toc323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_Toc10558 </w:instrText>
          </w:r>
          <w:r>
            <w:rPr>
              <w:rFonts w:hint="eastAsia" w:ascii="宋体" w:hAnsi="宋体" w:eastAsia="宋体" w:cs="宋体"/>
              <w:sz w:val="24"/>
              <w:szCs w:val="24"/>
            </w:rPr>
            <w:fldChar w:fldCharType="separate"/>
          </w:r>
          <w:r>
            <w:rPr>
              <w:rFonts w:hint="eastAsia" w:ascii="宋体" w:hAnsi="宋体" w:eastAsia="宋体" w:cs="宋体"/>
              <w:bCs/>
              <w:sz w:val="24"/>
              <w:szCs w:val="24"/>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_Toc10558 \h </w:instrText>
          </w:r>
          <w:r>
            <w:rPr>
              <w:rFonts w:hint="eastAsia" w:ascii="宋体" w:hAnsi="宋体" w:eastAsia="宋体" w:cs="宋体"/>
              <w:sz w:val="24"/>
              <w:szCs w:val="24"/>
            </w:rPr>
            <w:fldChar w:fldCharType="separate"/>
          </w:r>
          <w:r>
            <w:rPr>
              <w:rFonts w:hint="eastAsia" w:ascii="宋体" w:hAnsi="宋体" w:eastAsia="宋体" w:cs="宋体"/>
              <w:sz w:val="24"/>
              <w:szCs w:val="24"/>
            </w:rPr>
            <w:t>45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_Toc19320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_Toc19320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_Toc17277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_Toc17277 \h </w:instrText>
          </w:r>
          <w:r>
            <w:rPr>
              <w:rFonts w:hint="eastAsia" w:ascii="宋体" w:hAnsi="宋体" w:eastAsia="宋体" w:cs="宋体"/>
              <w:sz w:val="24"/>
              <w:szCs w:val="24"/>
            </w:rPr>
            <w:fldChar w:fldCharType="separate"/>
          </w:r>
          <w:r>
            <w:rPr>
              <w:rFonts w:hint="eastAsia" w:ascii="宋体" w:hAnsi="宋体" w:eastAsia="宋体" w:cs="宋体"/>
              <w:sz w:val="24"/>
              <w:szCs w:val="24"/>
            </w:rPr>
            <w:t>59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_Toc30659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_Toc30659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_Toc7328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_Toc7328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_Toc25838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_Toc25838 \h </w:instrText>
          </w:r>
          <w:r>
            <w:rPr>
              <w:rFonts w:hint="eastAsia" w:ascii="宋体" w:hAnsi="宋体" w:eastAsia="宋体" w:cs="宋体"/>
              <w:sz w:val="24"/>
              <w:szCs w:val="24"/>
            </w:rPr>
            <w:fldChar w:fldCharType="separate"/>
          </w:r>
          <w:r>
            <w:rPr>
              <w:rFonts w:hint="eastAsia" w:ascii="宋体" w:hAnsi="宋体" w:eastAsia="宋体" w:cs="宋体"/>
              <w:sz w:val="24"/>
              <w:szCs w:val="24"/>
            </w:rPr>
            <w:t>74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_Toc13187 </w:instrText>
          </w:r>
          <w:r>
            <w:rPr>
              <w:rFonts w:hint="eastAsia" w:ascii="宋体" w:hAnsi="宋体" w:eastAsia="宋体" w:cs="宋体"/>
              <w:sz w:val="24"/>
              <w:szCs w:val="24"/>
            </w:rPr>
            <w:fldChar w:fldCharType="separate"/>
          </w:r>
          <w:r>
            <w:rPr>
              <w:rFonts w:hint="eastAsia" w:ascii="宋体" w:hAnsi="宋体" w:eastAsia="宋体" w:cs="宋体"/>
              <w:bCs/>
              <w:sz w:val="24"/>
              <w:szCs w:val="24"/>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_Toc13187 \h </w:instrText>
          </w:r>
          <w:r>
            <w:rPr>
              <w:rFonts w:hint="eastAsia" w:ascii="宋体" w:hAnsi="宋体" w:eastAsia="宋体" w:cs="宋体"/>
              <w:sz w:val="24"/>
              <w:szCs w:val="24"/>
            </w:rPr>
            <w:fldChar w:fldCharType="separate"/>
          </w:r>
          <w:r>
            <w:rPr>
              <w:rFonts w:hint="eastAsia" w:ascii="宋体" w:hAnsi="宋体" w:eastAsia="宋体" w:cs="宋体"/>
              <w:sz w:val="24"/>
              <w:szCs w:val="24"/>
            </w:rPr>
            <w:t>75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_Toc11443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_Toc11443 \h </w:instrText>
          </w:r>
          <w:r>
            <w:rPr>
              <w:rFonts w:hint="eastAsia" w:ascii="宋体" w:hAnsi="宋体" w:eastAsia="宋体" w:cs="宋体"/>
              <w:sz w:val="24"/>
              <w:szCs w:val="24"/>
            </w:rPr>
            <w:fldChar w:fldCharType="separate"/>
          </w:r>
          <w:r>
            <w:rPr>
              <w:rFonts w:hint="eastAsia" w:ascii="宋体" w:hAnsi="宋体" w:eastAsia="宋体" w:cs="宋体"/>
              <w:sz w:val="24"/>
              <w:szCs w:val="24"/>
            </w:rPr>
            <w:t>82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_Toc16389 </w:instrText>
          </w:r>
          <w:r>
            <w:rPr>
              <w:rFonts w:hint="eastAsia" w:ascii="宋体" w:hAnsi="宋体" w:eastAsia="宋体" w:cs="宋体"/>
              <w:sz w:val="24"/>
              <w:szCs w:val="24"/>
            </w:rPr>
            <w:fldChar w:fldCharType="separate"/>
          </w:r>
          <w:r>
            <w:rPr>
              <w:rFonts w:hint="eastAsia" w:ascii="宋体" w:hAnsi="宋体" w:eastAsia="宋体" w:cs="宋体"/>
              <w:bCs/>
              <w:sz w:val="24"/>
              <w:szCs w:val="24"/>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_Toc16389 \h </w:instrText>
          </w:r>
          <w:r>
            <w:rPr>
              <w:rFonts w:hint="eastAsia" w:ascii="宋体" w:hAnsi="宋体" w:eastAsia="宋体" w:cs="宋体"/>
              <w:sz w:val="24"/>
              <w:szCs w:val="24"/>
            </w:rPr>
            <w:fldChar w:fldCharType="separate"/>
          </w:r>
          <w:r>
            <w:rPr>
              <w:rFonts w:hint="eastAsia" w:ascii="宋体" w:hAnsi="宋体" w:eastAsia="宋体" w:cs="宋体"/>
              <w:sz w:val="24"/>
              <w:szCs w:val="24"/>
            </w:rPr>
            <w:t>82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_Toc16478 </w:instrText>
          </w:r>
          <w:r>
            <w:rPr>
              <w:rFonts w:hint="eastAsia" w:ascii="宋体" w:hAnsi="宋体" w:eastAsia="宋体" w:cs="宋体"/>
              <w:sz w:val="24"/>
              <w:szCs w:val="24"/>
            </w:rPr>
            <w:fldChar w:fldCharType="separate"/>
          </w:r>
          <w:r>
            <w:rPr>
              <w:rFonts w:hint="eastAsia" w:ascii="宋体" w:hAnsi="宋体" w:eastAsia="宋体" w:cs="宋体"/>
              <w:bCs/>
              <w:sz w:val="24"/>
              <w:szCs w:val="24"/>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_Toc16478 \h </w:instrText>
          </w:r>
          <w:r>
            <w:rPr>
              <w:rFonts w:hint="eastAsia" w:ascii="宋体" w:hAnsi="宋体" w:eastAsia="宋体" w:cs="宋体"/>
              <w:sz w:val="24"/>
              <w:szCs w:val="24"/>
            </w:rPr>
            <w:fldChar w:fldCharType="separate"/>
          </w:r>
          <w:r>
            <w:rPr>
              <w:rFonts w:hint="eastAsia" w:ascii="宋体" w:hAnsi="宋体" w:eastAsia="宋体" w:cs="宋体"/>
              <w:sz w:val="24"/>
              <w:szCs w:val="24"/>
            </w:rPr>
            <w:t>88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_Toc11163 </w:instrText>
          </w:r>
          <w:r>
            <w:rPr>
              <w:rFonts w:hint="eastAsia" w:ascii="宋体" w:hAnsi="宋体" w:eastAsia="宋体" w:cs="宋体"/>
              <w:sz w:val="24"/>
              <w:szCs w:val="24"/>
            </w:rPr>
            <w:fldChar w:fldCharType="separate"/>
          </w:r>
          <w:r>
            <w:rPr>
              <w:rFonts w:hint="eastAsia" w:ascii="宋体" w:hAnsi="宋体" w:eastAsia="宋体" w:cs="宋体"/>
              <w:bCs/>
              <w:sz w:val="24"/>
              <w:szCs w:val="24"/>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_Toc11163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_Toc4986 </w:instrText>
          </w:r>
          <w:r>
            <w:rPr>
              <w:rFonts w:hint="eastAsia" w:ascii="宋体" w:hAnsi="宋体" w:eastAsia="宋体" w:cs="宋体"/>
              <w:sz w:val="24"/>
              <w:szCs w:val="24"/>
            </w:rPr>
            <w:fldChar w:fldCharType="separate"/>
          </w:r>
          <w:r>
            <w:rPr>
              <w:rFonts w:hint="eastAsia" w:ascii="宋体" w:hAnsi="宋体" w:eastAsia="宋体" w:cs="宋体"/>
              <w:bCs/>
              <w:sz w:val="24"/>
              <w:szCs w:val="24"/>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_Toc4986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_Toc21452 </w:instrText>
          </w:r>
          <w:r>
            <w:rPr>
              <w:rFonts w:hint="eastAsia" w:ascii="宋体" w:hAnsi="宋体" w:eastAsia="宋体" w:cs="宋体"/>
              <w:sz w:val="24"/>
              <w:szCs w:val="24"/>
            </w:rPr>
            <w:fldChar w:fldCharType="separate"/>
          </w:r>
          <w:r>
            <w:rPr>
              <w:rFonts w:hint="eastAsia" w:ascii="宋体" w:hAnsi="宋体" w:eastAsia="宋体" w:cs="宋体"/>
              <w:bCs/>
              <w:sz w:val="24"/>
              <w:szCs w:val="24"/>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_Toc21452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_Toc3320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_Toc3320 \h </w:instrText>
          </w:r>
          <w:r>
            <w:rPr>
              <w:rFonts w:hint="eastAsia" w:ascii="宋体" w:hAnsi="宋体" w:eastAsia="宋体" w:cs="宋体"/>
              <w:sz w:val="24"/>
              <w:szCs w:val="24"/>
            </w:rPr>
            <w:fldChar w:fldCharType="separate"/>
          </w:r>
          <w:r>
            <w:rPr>
              <w:rFonts w:hint="eastAsia" w:ascii="宋体" w:hAnsi="宋体" w:eastAsia="宋体" w:cs="宋体"/>
              <w:sz w:val="24"/>
              <w:szCs w:val="24"/>
            </w:rPr>
            <w:t>101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_Toc3393 </w:instrText>
          </w:r>
          <w:r>
            <w:rPr>
              <w:rFonts w:hint="eastAsia" w:ascii="宋体" w:hAnsi="宋体" w:eastAsia="宋体" w:cs="宋体"/>
              <w:sz w:val="24"/>
              <w:szCs w:val="24"/>
            </w:rPr>
            <w:fldChar w:fldCharType="separate"/>
          </w:r>
          <w:r>
            <w:rPr>
              <w:rFonts w:hint="eastAsia" w:ascii="宋体" w:hAnsi="宋体" w:eastAsia="宋体" w:cs="宋体"/>
              <w:bCs/>
              <w:sz w:val="24"/>
              <w:szCs w:val="24"/>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_Toc3393 \h </w:instrText>
          </w:r>
          <w:r>
            <w:rPr>
              <w:rFonts w:hint="eastAsia" w:ascii="宋体" w:hAnsi="宋体" w:eastAsia="宋体" w:cs="宋体"/>
              <w:sz w:val="24"/>
              <w:szCs w:val="24"/>
            </w:rPr>
            <w:fldChar w:fldCharType="separate"/>
          </w:r>
          <w:r>
            <w:rPr>
              <w:rFonts w:hint="eastAsia" w:ascii="宋体" w:hAnsi="宋体" w:eastAsia="宋体" w:cs="宋体"/>
              <w:sz w:val="24"/>
              <w:szCs w:val="24"/>
            </w:rPr>
            <w:t>101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_Toc31340 </w:instrText>
          </w:r>
          <w:r>
            <w:rPr>
              <w:rFonts w:hint="eastAsia" w:ascii="宋体" w:hAnsi="宋体" w:eastAsia="宋体" w:cs="宋体"/>
              <w:sz w:val="24"/>
              <w:szCs w:val="24"/>
            </w:rPr>
            <w:fldChar w:fldCharType="separate"/>
          </w:r>
          <w:r>
            <w:rPr>
              <w:rFonts w:hint="eastAsia" w:ascii="宋体" w:hAnsi="宋体" w:eastAsia="宋体" w:cs="宋体"/>
              <w:bCs/>
              <w:sz w:val="24"/>
              <w:szCs w:val="24"/>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_Toc31340 \h </w:instrText>
          </w:r>
          <w:r>
            <w:rPr>
              <w:rFonts w:hint="eastAsia" w:ascii="宋体" w:hAnsi="宋体" w:eastAsia="宋体" w:cs="宋体"/>
              <w:sz w:val="24"/>
              <w:szCs w:val="24"/>
            </w:rPr>
            <w:fldChar w:fldCharType="separate"/>
          </w:r>
          <w:r>
            <w:rPr>
              <w:rFonts w:hint="eastAsia" w:ascii="宋体" w:hAnsi="宋体" w:eastAsia="宋体" w:cs="宋体"/>
              <w:sz w:val="24"/>
              <w:szCs w:val="24"/>
            </w:rPr>
            <w:t>107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_Toc21639 </w:instrText>
          </w:r>
          <w:r>
            <w:rPr>
              <w:rFonts w:hint="eastAsia" w:ascii="宋体" w:hAnsi="宋体" w:eastAsia="宋体" w:cs="宋体"/>
              <w:sz w:val="24"/>
              <w:szCs w:val="24"/>
            </w:rPr>
            <w:fldChar w:fldCharType="separate"/>
          </w:r>
          <w:r>
            <w:rPr>
              <w:rFonts w:hint="eastAsia" w:ascii="宋体" w:hAnsi="宋体" w:eastAsia="宋体" w:cs="宋体"/>
              <w:bCs/>
              <w:sz w:val="24"/>
              <w:szCs w:val="24"/>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_Toc21639 \h </w:instrText>
          </w:r>
          <w:r>
            <w:rPr>
              <w:rFonts w:hint="eastAsia" w:ascii="宋体" w:hAnsi="宋体" w:eastAsia="宋体" w:cs="宋体"/>
              <w:sz w:val="24"/>
              <w:szCs w:val="24"/>
            </w:rPr>
            <w:fldChar w:fldCharType="separate"/>
          </w:r>
          <w:r>
            <w:rPr>
              <w:rFonts w:hint="eastAsia" w:ascii="宋体" w:hAnsi="宋体" w:eastAsia="宋体" w:cs="宋体"/>
              <w:sz w:val="24"/>
              <w:szCs w:val="24"/>
            </w:rPr>
            <w:t>109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_Toc24149 </w:instrText>
          </w:r>
          <w:r>
            <w:rPr>
              <w:rFonts w:hint="eastAsia" w:ascii="宋体" w:hAnsi="宋体" w:eastAsia="宋体" w:cs="宋体"/>
              <w:sz w:val="24"/>
              <w:szCs w:val="24"/>
            </w:rPr>
            <w:fldChar w:fldCharType="separate"/>
          </w:r>
          <w:r>
            <w:rPr>
              <w:rFonts w:hint="eastAsia" w:ascii="宋体" w:hAnsi="宋体" w:eastAsia="宋体" w:cs="宋体"/>
              <w:bCs/>
              <w:sz w:val="24"/>
              <w:szCs w:val="24"/>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_Toc24149 \h </w:instrText>
          </w:r>
          <w:r>
            <w:rPr>
              <w:rFonts w:hint="eastAsia" w:ascii="宋体" w:hAnsi="宋体" w:eastAsia="宋体" w:cs="宋体"/>
              <w:sz w:val="24"/>
              <w:szCs w:val="24"/>
            </w:rPr>
            <w:fldChar w:fldCharType="separate"/>
          </w:r>
          <w:r>
            <w:rPr>
              <w:rFonts w:hint="eastAsia" w:ascii="宋体" w:hAnsi="宋体" w:eastAsia="宋体" w:cs="宋体"/>
              <w:sz w:val="24"/>
              <w:szCs w:val="24"/>
            </w:rPr>
            <w:t>113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_Toc16826 </w:instrText>
          </w:r>
          <w:r>
            <w:rPr>
              <w:rFonts w:hint="eastAsia" w:ascii="宋体" w:hAnsi="宋体" w:eastAsia="宋体" w:cs="宋体"/>
              <w:sz w:val="24"/>
              <w:szCs w:val="24"/>
            </w:rPr>
            <w:fldChar w:fldCharType="separate"/>
          </w:r>
          <w:r>
            <w:rPr>
              <w:rFonts w:hint="eastAsia" w:ascii="宋体" w:hAnsi="宋体" w:eastAsia="宋体" w:cs="宋体"/>
              <w:bCs/>
              <w:sz w:val="24"/>
              <w:szCs w:val="24"/>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_Toc16826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_Toc31120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_Toc31120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_Toc16047 </w:instrText>
          </w:r>
          <w:r>
            <w:rPr>
              <w:rFonts w:hint="eastAsia" w:ascii="宋体" w:hAnsi="宋体" w:eastAsia="宋体" w:cs="宋体"/>
              <w:sz w:val="24"/>
              <w:szCs w:val="24"/>
            </w:rPr>
            <w:fldChar w:fldCharType="separate"/>
          </w:r>
          <w:r>
            <w:rPr>
              <w:rFonts w:hint="eastAsia" w:ascii="宋体" w:hAnsi="宋体" w:eastAsia="宋体" w:cs="宋体"/>
              <w:bCs/>
              <w:sz w:val="24"/>
              <w:szCs w:val="24"/>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_Toc16047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_Toc12637 </w:instrText>
          </w:r>
          <w:r>
            <w:rPr>
              <w:rFonts w:hint="eastAsia" w:ascii="宋体" w:hAnsi="宋体" w:eastAsia="宋体" w:cs="宋体"/>
              <w:sz w:val="24"/>
              <w:szCs w:val="24"/>
            </w:rPr>
            <w:fldChar w:fldCharType="separate"/>
          </w:r>
          <w:r>
            <w:rPr>
              <w:rFonts w:hint="eastAsia" w:ascii="宋体" w:hAnsi="宋体" w:eastAsia="宋体" w:cs="宋体"/>
              <w:bCs/>
              <w:sz w:val="24"/>
              <w:szCs w:val="24"/>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_Toc12637 \h </w:instrText>
          </w:r>
          <w:r>
            <w:rPr>
              <w:rFonts w:hint="eastAsia" w:ascii="宋体" w:hAnsi="宋体" w:eastAsia="宋体" w:cs="宋体"/>
              <w:sz w:val="24"/>
              <w:szCs w:val="24"/>
            </w:rPr>
            <w:fldChar w:fldCharType="separate"/>
          </w:r>
          <w:r>
            <w:rPr>
              <w:rFonts w:hint="eastAsia" w:ascii="宋体" w:hAnsi="宋体" w:eastAsia="宋体" w:cs="宋体"/>
              <w:sz w:val="24"/>
              <w:szCs w:val="24"/>
            </w:rPr>
            <w:t>120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_Toc15200 </w:instrText>
          </w:r>
          <w:r>
            <w:rPr>
              <w:rFonts w:hint="eastAsia" w:ascii="宋体" w:hAnsi="宋体" w:eastAsia="宋体" w:cs="宋体"/>
              <w:sz w:val="24"/>
              <w:szCs w:val="24"/>
            </w:rPr>
            <w:fldChar w:fldCharType="separate"/>
          </w:r>
          <w:r>
            <w:rPr>
              <w:rFonts w:hint="eastAsia" w:ascii="宋体" w:hAnsi="宋体" w:eastAsia="宋体" w:cs="宋体"/>
              <w:bCs/>
              <w:sz w:val="24"/>
              <w:szCs w:val="24"/>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_Toc15200 \h </w:instrText>
          </w:r>
          <w:r>
            <w:rPr>
              <w:rFonts w:hint="eastAsia" w:ascii="宋体" w:hAnsi="宋体" w:eastAsia="宋体" w:cs="宋体"/>
              <w:sz w:val="24"/>
              <w:szCs w:val="24"/>
            </w:rPr>
            <w:fldChar w:fldCharType="separate"/>
          </w:r>
          <w:r>
            <w:rPr>
              <w:rFonts w:hint="eastAsia" w:ascii="宋体" w:hAnsi="宋体" w:eastAsia="宋体" w:cs="宋体"/>
              <w:sz w:val="24"/>
              <w:szCs w:val="24"/>
            </w:rPr>
            <w:t>121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_Toc16038 </w:instrText>
          </w:r>
          <w:r>
            <w:rPr>
              <w:rFonts w:hint="eastAsia" w:ascii="宋体" w:hAnsi="宋体" w:eastAsia="宋体" w:cs="宋体"/>
              <w:sz w:val="24"/>
              <w:szCs w:val="24"/>
            </w:rPr>
            <w:fldChar w:fldCharType="separate"/>
          </w:r>
          <w:r>
            <w:rPr>
              <w:rFonts w:hint="eastAsia" w:ascii="宋体" w:hAnsi="宋体" w:eastAsia="宋体" w:cs="宋体"/>
              <w:bCs/>
              <w:sz w:val="24"/>
              <w:szCs w:val="24"/>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_Toc16038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_Toc14999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_Toc14999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_Toc14440 </w:instrText>
          </w:r>
          <w:r>
            <w:rPr>
              <w:rFonts w:hint="eastAsia" w:ascii="宋体" w:hAnsi="宋体" w:eastAsia="宋体" w:cs="宋体"/>
              <w:sz w:val="24"/>
              <w:szCs w:val="24"/>
            </w:rPr>
            <w:fldChar w:fldCharType="separate"/>
          </w:r>
          <w:r>
            <w:rPr>
              <w:rFonts w:hint="eastAsia" w:ascii="宋体" w:hAnsi="宋体" w:eastAsia="宋体" w:cs="宋体"/>
              <w:bCs/>
              <w:sz w:val="24"/>
              <w:szCs w:val="24"/>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_Toc14440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_Toc8506 </w:instrText>
          </w:r>
          <w:r>
            <w:rPr>
              <w:rFonts w:hint="eastAsia" w:ascii="宋体" w:hAnsi="宋体" w:eastAsia="宋体" w:cs="宋体"/>
              <w:sz w:val="24"/>
              <w:szCs w:val="24"/>
            </w:rPr>
            <w:fldChar w:fldCharType="separate"/>
          </w:r>
          <w:r>
            <w:rPr>
              <w:rFonts w:hint="eastAsia" w:ascii="宋体" w:hAnsi="宋体" w:eastAsia="宋体" w:cs="宋体"/>
              <w:bCs/>
              <w:sz w:val="24"/>
              <w:szCs w:val="24"/>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_Toc8506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_Toc23144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_Toc23144 \h </w:instrText>
          </w:r>
          <w:r>
            <w:rPr>
              <w:rFonts w:hint="eastAsia" w:ascii="宋体" w:hAnsi="宋体" w:eastAsia="宋体" w:cs="宋体"/>
              <w:sz w:val="24"/>
              <w:szCs w:val="24"/>
            </w:rPr>
            <w:fldChar w:fldCharType="separate"/>
          </w:r>
          <w:r>
            <w:rPr>
              <w:rFonts w:hint="eastAsia" w:ascii="宋体" w:hAnsi="宋体" w:eastAsia="宋体" w:cs="宋体"/>
              <w:sz w:val="24"/>
              <w:szCs w:val="24"/>
            </w:rPr>
            <w:t>127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_Toc17567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_Toc17567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_Toc12963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_Toc12963 \h </w:instrText>
          </w:r>
          <w:r>
            <w:rPr>
              <w:rFonts w:hint="eastAsia" w:ascii="宋体" w:hAnsi="宋体" w:eastAsia="宋体" w:cs="宋体"/>
              <w:sz w:val="24"/>
              <w:szCs w:val="24"/>
            </w:rPr>
            <w:fldChar w:fldCharType="separate"/>
          </w:r>
          <w:r>
            <w:rPr>
              <w:rFonts w:hint="eastAsia" w:ascii="宋体" w:hAnsi="宋体" w:eastAsia="宋体" w:cs="宋体"/>
              <w:sz w:val="24"/>
              <w:szCs w:val="24"/>
            </w:rPr>
            <w:t>132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_Toc22735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_Toc22735 \h </w:instrText>
          </w:r>
          <w:r>
            <w:rPr>
              <w:rFonts w:hint="eastAsia" w:ascii="宋体" w:hAnsi="宋体" w:eastAsia="宋体" w:cs="宋体"/>
              <w:sz w:val="24"/>
              <w:szCs w:val="24"/>
            </w:rPr>
            <w:fldChar w:fldCharType="separate"/>
          </w:r>
          <w:r>
            <w:rPr>
              <w:rFonts w:hint="eastAsia" w:ascii="宋体" w:hAnsi="宋体" w:eastAsia="宋体" w:cs="宋体"/>
              <w:sz w:val="24"/>
              <w:szCs w:val="24"/>
            </w:rPr>
            <w:t>136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_Toc29457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_Toc29457 \h </w:instrText>
          </w:r>
          <w:r>
            <w:rPr>
              <w:rFonts w:hint="eastAsia" w:ascii="宋体" w:hAnsi="宋体" w:eastAsia="宋体" w:cs="宋体"/>
              <w:sz w:val="24"/>
              <w:szCs w:val="24"/>
            </w:rPr>
            <w:fldChar w:fldCharType="separate"/>
          </w:r>
          <w:r>
            <w:rPr>
              <w:rFonts w:hint="eastAsia" w:ascii="宋体" w:hAnsi="宋体" w:eastAsia="宋体" w:cs="宋体"/>
              <w:sz w:val="24"/>
              <w:szCs w:val="24"/>
            </w:rPr>
            <w:t>138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_Toc9642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_Toc9642 \h </w:instrText>
          </w:r>
          <w:r>
            <w:rPr>
              <w:rFonts w:hint="eastAsia" w:ascii="宋体" w:hAnsi="宋体" w:eastAsia="宋体" w:cs="宋体"/>
              <w:sz w:val="24"/>
              <w:szCs w:val="24"/>
            </w:rPr>
            <w:fldChar w:fldCharType="separate"/>
          </w:r>
          <w:r>
            <w:rPr>
              <w:rFonts w:hint="eastAsia" w:ascii="宋体" w:hAnsi="宋体" w:eastAsia="宋体" w:cs="宋体"/>
              <w:sz w:val="24"/>
              <w:szCs w:val="24"/>
            </w:rPr>
            <w:t>142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_Toc21174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_Toc21174 \h </w:instrText>
          </w:r>
          <w:r>
            <w:rPr>
              <w:rFonts w:hint="eastAsia" w:ascii="宋体" w:hAnsi="宋体" w:eastAsia="宋体" w:cs="宋体"/>
              <w:sz w:val="24"/>
              <w:szCs w:val="24"/>
            </w:rPr>
            <w:fldChar w:fldCharType="separate"/>
          </w:r>
          <w:r>
            <w:rPr>
              <w:rFonts w:hint="eastAsia" w:ascii="宋体" w:hAnsi="宋体" w:eastAsia="宋体" w:cs="宋体"/>
              <w:sz w:val="24"/>
              <w:szCs w:val="24"/>
            </w:rPr>
            <w:t>146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false"/>
            <w:keepLines w:val="false"/>
            <w:pageBreakBefore w:val="false"/>
            <w:widowControl/>
            <w:wordWrap/>
            <w:overflowPunct/>
            <w:topLinePunct w:val="false"/>
            <w:bidi w:val="false"/>
            <w:spacing w:line="360" w:lineRule="auto"/>
            <w:rPr>
              <w:b/>
            </w:rPr>
          </w:pPr>
          <w:r>
            <w:rPr>
              <w:rFonts w:hint="eastAsia" w:ascii="宋体" w:hAnsi="宋体" w:eastAsia="宋体" w:cs="宋体"/>
              <w:szCs w:val="24"/>
            </w:rPr>
            <w:fldChar w:fldCharType="end"/>
          </w:r>
        </w:p>
      </w:sdtContent>
    </w:sdt>
    <w:p>
      <w:pPr>
        <w:rPr>
          <w:b/>
        </w:rPr>
      </w:pPr>
    </w:p>
    <w:p>
      <w:p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bookmarkStart w:id="6" w:name="_Toc432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第一章 总论</w:t>
      </w:r>
      <w:bookmarkEnd w:id="3"/>
      <w:bookmarkEnd w:id="4"/>
      <w:bookmarkEnd w:id="5"/>
      <w:bookmarkEnd w:id="6"/>
    </w:p>
    <w:bookmarkStart w:id="7" w:name="_Toc1387"/>
    <w:bookmarkStart w:id="8" w:name="_Toc27673"/>
    <w:bookmarkStart w:id="9" w:name="_Toc15962"/>
    <w:bookmarkStart w:id="10" w:name="_Toc16535"/>
    <w:bookmarkStart w:id="11" w:name="_Toc1861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1.1 项目概况</w:t>
      </w:r>
      <w:bookmarkEnd w:id="7"/>
      <w:bookmarkEnd w:id="8"/>
      <w:bookmarkEnd w:id="9"/>
      <w:bookmarkEnd w:id="10"/>
      <w:bookmarkEnd w:id="1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河南大成包装材料有限公司源网荷储一体化项目</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单位名称：获嘉县产业集聚区创业孵化园有限公司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项目地点位于：新乡市获嘉县梧桐路与安王公路交叉口东南角。</w:t>
      </w:r>
    </w:p>
    <w:p>
      <w:pPr>
        <w:snapToGrid w:val="false"/>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2" name="图片 4" descr="项目所在地图"/>
            <wp:cNvGraphicFramePr>
              <a:graphicFrameLocks noChangeAspect="true"/>
            </wp:cNvGraphicFramePr>
            <a:graphic>
              <a:graphicData uri="http://schemas.openxmlformats.org/drawingml/2006/picture">
                <pic:pic>
                  <pic:nvPicPr>
                    <pic:cNvPr id="3" name="图片 4" descr="项目所在地图"/>
                    <pic:cNvPicPr>
                      <a:picLocks noChangeAspect="true"/>
                    </pic:cNvPicPr>
                  </pic:nvPicPr>
                  <pic:blipFill>
                    <a:blip r:embed="rId7"/>
                    <a:stretch>
                      <a:fillRect/>
                    </a:stretch>
                  </pic:blipFill>
                  <pic:spPr>
                    <a:xfrm>
                      <a:off x="0" y="0"/>
                      <a:ext cx="5264785" cy="259905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pPr>
        <w:snapToGrid/>
        <w:spacing w:before="0" w:after="0" w:line="360" w:lineRule="auto"/>
        <w:ind w:left="0" w:right="0" w:firstLine="560" w:firstLineChars="200"/>
        <w:jc w:val="both"/>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false"/>
          <w:strike w:val="false"/>
          <w:spacing w:val="0"/>
          <w:sz w:val="28"/>
          <w:u w:val="none"/>
        </w:rPr>
        <w:t>园区内工业厂房屋顶部署</w:t>
      </w:r>
      <w:r>
        <w:rPr>
          <w:rFonts w:hint="eastAsia" w:ascii="宋体" w:hAnsi="宋体" w:eastAsia="宋体" w:cs="宋体"/>
          <w:i w:val="false"/>
          <w:strike w:val="false"/>
          <w:spacing w:val="0"/>
          <w:sz w:val="28"/>
          <w:u w:val="none"/>
          <w:lang w:val="en-US" w:eastAsia="zh-CN"/>
        </w:rPr>
        <w:t>5950</w:t>
      </w:r>
      <w:r>
        <w:rPr>
          <w:rFonts w:ascii="宋体" w:hAnsi="宋体" w:eastAsia="宋体" w:cs="宋体"/>
          <w:i w:val="false"/>
          <w:strike w:val="false"/>
          <w:spacing w:val="0"/>
          <w:sz w:val="28"/>
          <w:u w:val="none"/>
        </w:rPr>
        <w:t>KW的分布式光伏发电系统，并配套安装用户侧储能设施，总规模达到</w:t>
      </w:r>
      <w:r>
        <w:rPr>
          <w:rFonts w:hint="eastAsia" w:ascii="宋体" w:hAnsi="宋体" w:eastAsia="宋体" w:cs="宋体"/>
          <w:i w:val="false"/>
          <w:strike w:val="false"/>
          <w:spacing w:val="0"/>
          <w:sz w:val="28"/>
          <w:u w:val="none"/>
          <w:lang w:val="en-US" w:eastAsia="zh-CN"/>
        </w:rPr>
        <w:t>20</w:t>
      </w:r>
      <w:r>
        <w:rPr>
          <w:rFonts w:ascii="宋体" w:hAnsi="宋体" w:eastAsia="宋体" w:cs="宋体"/>
          <w:i w:val="false"/>
          <w:strike w:val="false"/>
          <w:spacing w:val="0"/>
          <w:sz w:val="28"/>
          <w:u w:val="none"/>
        </w:rPr>
        <w:t>MW/</w:t>
      </w:r>
      <w:r>
        <w:rPr>
          <w:rFonts w:hint="eastAsia" w:ascii="宋体" w:hAnsi="宋体" w:eastAsia="宋体" w:cs="宋体"/>
          <w:i w:val="false"/>
          <w:strike w:val="false"/>
          <w:spacing w:val="0"/>
          <w:sz w:val="28"/>
          <w:u w:val="none"/>
          <w:lang w:val="en-US" w:eastAsia="zh-CN"/>
        </w:rPr>
        <w:t>40</w:t>
      </w:r>
      <w:r>
        <w:rPr>
          <w:rFonts w:ascii="宋体" w:hAnsi="宋体" w:eastAsia="宋体" w:cs="宋体"/>
          <w:i w:val="false"/>
          <w:strike w:val="false"/>
          <w:spacing w:val="0"/>
          <w:sz w:val="28"/>
          <w:u w:val="none"/>
        </w:rPr>
        <w:t>MWh。此外，项目还规划安装</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个光伏充电桩，并同步实施园区绿化及其他相关配套工程。通过源网荷储一体化方案，本项目将用户侧储能设备直接安装在</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（以下简称“</w:t>
      </w:r>
      <w:r>
        <w:rPr>
          <w:rFonts w:hint="eastAsia" w:ascii="宋体" w:hAnsi="宋体" w:eastAsia="宋体" w:cs="宋体"/>
          <w:i w:val="false"/>
          <w:strike w:val="false"/>
          <w:spacing w:val="0"/>
          <w:sz w:val="28"/>
          <w:u w:val="none"/>
          <w:lang w:val="en-US" w:eastAsia="zh-CN"/>
        </w:rPr>
        <w:t>大成包装</w:t>
      </w:r>
      <w:r>
        <w:rPr>
          <w:rFonts w:ascii="宋体" w:hAnsi="宋体" w:eastAsia="宋体" w:cs="宋体"/>
          <w:i w:val="false"/>
          <w:strike w:val="false"/>
          <w:spacing w:val="0"/>
          <w:sz w:val="28"/>
          <w:u w:val="none"/>
        </w:rPr>
        <w:t>”）内部，项目所产出的新能源电力将直供给</w:t>
      </w:r>
      <w:r>
        <w:rPr>
          <w:rFonts w:hint="eastAsia" w:ascii="宋体" w:hAnsi="宋体" w:eastAsia="宋体" w:cs="宋体"/>
          <w:i w:val="false"/>
          <w:strike w:val="false"/>
          <w:spacing w:val="0"/>
          <w:sz w:val="28"/>
          <w:u w:val="none"/>
          <w:lang w:val="en-US" w:eastAsia="zh-CN"/>
        </w:rPr>
        <w:t>大成包装</w:t>
      </w:r>
      <w:r>
        <w:rPr>
          <w:rFonts w:ascii="宋体" w:hAnsi="宋体" w:eastAsia="宋体" w:cs="宋体"/>
          <w:i w:val="false"/>
          <w:strike w:val="false"/>
          <w:spacing w:val="0"/>
          <w:sz w:val="28"/>
          <w:u w:val="none"/>
        </w:rPr>
        <w:t>使用</w:t>
      </w:r>
      <w:r>
        <w:rPr>
          <w:rFonts w:hint="eastAsia" w:ascii="宋体" w:hAnsi="宋体" w:eastAsia="宋体" w:cs="宋体"/>
          <w:snapToGrid/>
          <w:color w:val="000000"/>
          <w:spacing w:val="0"/>
          <w:w w:val="100"/>
          <w:kern w:val="2"/>
          <w:position w:val="0"/>
          <w:sz w:val="28"/>
          <w:szCs w:val="28"/>
          <w:lang w:val="en-US" w:eastAsia="zh-CN" w:bidi="zh-CN"/>
        </w:rPr>
        <w:t>。</w:t>
      </w:r>
    </w:p>
    <w:p>
      <w:pPr>
        <w:snapToGrid/>
        <w:spacing w:before="0" w:after="0" w:line="360" w:lineRule="auto"/>
        <w:ind w:left="0" w:right="0" w:firstLine="560" w:firstLineChars="200"/>
        <w:jc w:val="both"/>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项目规划利用获嘉县产业集聚区中小企业创业孵化园项目屋顶面积为31530.09㎡，园区内可使用道路区域面积为12267.68㎡，合计可使用面积为42807.95㎡。</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trPr>
          <w:trHeight w:val="600" w:hRule="atLeast"/>
        </w:trPr>
        <w:tc>
          <w:tcPr>
            <w:tcW w:w="1023"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i w:val="false"/>
                <w:strike w:val="false"/>
                <w:color w:val="000000"/>
                <w:spacing w:val="0"/>
                <w:sz w:val="22"/>
                <w:u w:val="none"/>
                <w:vertAlign w:val="baseline"/>
              </w:rPr>
              <w:t>序号</w:t>
            </w:r>
          </w:p>
        </w:tc>
        <w:tc>
          <w:tcPr>
            <w:tcW w:w="2541"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i w:val="false"/>
                <w:strike w:val="false"/>
                <w:color w:val="000000"/>
                <w:spacing w:val="0"/>
                <w:sz w:val="22"/>
                <w:u w:val="none"/>
                <w:vertAlign w:val="baseline"/>
              </w:rPr>
              <w:t>名称</w:t>
            </w:r>
          </w:p>
        </w:tc>
        <w:tc>
          <w:tcPr>
            <w:tcW w:w="1419"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单位</w:t>
            </w:r>
          </w:p>
        </w:tc>
        <w:tc>
          <w:tcPr>
            <w:tcW w:w="1504"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数量</w:t>
            </w:r>
          </w:p>
        </w:tc>
        <w:tc>
          <w:tcPr>
            <w:tcW w:w="1956"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备注</w:t>
            </w:r>
          </w:p>
        </w:tc>
      </w:tr>
      <w:tr>
        <w:trPr>
          <w:trHeight w:val="298" w:hRule="atLeast"/>
        </w:trPr>
        <w:tc>
          <w:tcPr>
            <w:tcW w:w="1023" w:type="dxa"/>
            <w:tcBorders>
              <w:top w:val="single" w:color="999999" w:sz="6"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1</w:t>
            </w:r>
          </w:p>
        </w:tc>
        <w:tc>
          <w:tcPr>
            <w:tcW w:w="2541"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sz w:val="22"/>
              </w:rPr>
              <w:t>光伏发电设备</w:t>
            </w:r>
          </w:p>
        </w:tc>
        <w:tc>
          <w:tcPr>
            <w:tcW w:w="1419"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KW </w:t>
            </w:r>
          </w:p>
        </w:tc>
        <w:tc>
          <w:tcPr>
            <w:tcW w:w="1504"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5950 </w:t>
            </w:r>
          </w:p>
        </w:tc>
        <w:tc>
          <w:tcPr>
            <w:tcW w:w="1956"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p>
        </w:tc>
      </w:tr>
      <w:tr>
        <w:trPr>
          <w:trHeight w:val="33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2</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储能设备</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MW/MWh</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 xml:space="preserve">20/40 </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2"/>
              </w:rPr>
            </w:pPr>
          </w:p>
        </w:tc>
      </w:tr>
      <w:tr>
        <w:trPr>
          <w:trHeight w:val="32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3</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占用工业厂房屋顶面积</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 xml:space="preserve">㎡  </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rPr>
              <w:t>31530.09</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每MW占用屋顶面积约7000</w:t>
            </w:r>
            <w:r>
              <w:rPr>
                <w:rFonts w:ascii="宋体" w:hAnsi="宋体" w:eastAsia="宋体" w:cs="宋体"/>
                <w:i w:val="false"/>
                <w:strike w:val="false"/>
                <w:color w:val="000000"/>
                <w:spacing w:val="0"/>
                <w:sz w:val="22"/>
                <w:u w:val="none"/>
                <w:vertAlign w:val="baseline"/>
              </w:rPr>
              <w:t>㎡ </w:t>
            </w:r>
          </w:p>
        </w:tc>
      </w:tr>
      <w:tr>
        <w:trPr>
          <w:trHeight w:val="32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4</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可使用</w:t>
            </w:r>
            <w:r>
              <w:rPr>
                <w:rFonts w:hint="eastAsia" w:ascii="宋体" w:hAnsi="宋体" w:eastAsia="宋体" w:cs="宋体"/>
                <w:color w:val="000000"/>
                <w:sz w:val="22"/>
                <w:lang w:val="en-US" w:eastAsia="zh-CN"/>
              </w:rPr>
              <w:t>道路</w:t>
            </w:r>
            <w:r>
              <w:rPr>
                <w:rFonts w:ascii="宋体" w:hAnsi="宋体" w:eastAsia="宋体" w:cs="宋体"/>
                <w:color w:val="000000"/>
                <w:sz w:val="22"/>
              </w:rPr>
              <w:t>区域占用面积</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vertAlign w:val="baseline"/>
              </w:rPr>
              <w:t xml:space="preserve">㎡   </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i w:val="false"/>
                <w:strike w:val="false"/>
                <w:color w:val="000000"/>
                <w:spacing w:val="0"/>
                <w:sz w:val="22"/>
                <w:u w:val="none"/>
              </w:rPr>
              <w:t>12267.68</w:t>
            </w:r>
            <w:r>
              <w:rPr>
                <w:rFonts w:ascii="宋体" w:hAnsi="宋体" w:eastAsia="宋体" w:cs="宋体"/>
                <w:i w:val="false"/>
                <w:strike w:val="false"/>
                <w:color w:val="000000"/>
                <w:spacing w:val="0"/>
                <w:sz w:val="22"/>
                <w:u w:val="none"/>
                <w:vertAlign w:val="baseline"/>
              </w:rPr>
              <w:t xml:space="preserve"> </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每MW占用空闲区域面积约7000</w:t>
            </w:r>
            <w:r>
              <w:rPr>
                <w:rFonts w:ascii="宋体" w:hAnsi="宋体" w:eastAsia="宋体" w:cs="宋体"/>
                <w:i w:val="false"/>
                <w:strike w:val="false"/>
                <w:color w:val="000000"/>
                <w:spacing w:val="0"/>
                <w:sz w:val="22"/>
                <w:u w:val="none"/>
                <w:vertAlign w:val="baseline"/>
              </w:rPr>
              <w:t>㎡ </w:t>
            </w: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本项目建设期为0.5年（含建设期准备工作），计划2025年5月开工，预计2025年11月竣工。其中，建设期第0.5年开始运营。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8700.05万元，其中项目工程费用7802.28万元，占总投资的89.68%；工程建设其它费用400.68万元，占总投资的4.61%；预备费410.15万元，占总投资的4.71%；建设期利息86.94万元，占总投资的1.00%。项目投资构成如下表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7802.28</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89.68</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1829.91</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21.03%</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5614.00</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64.52%</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358.36</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4.11%</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400.68</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4.61</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410.15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4.71</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86.94</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1.00</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8700.05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8700.05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在资金筹措方面，项目总投资由资本金和项目融资或其他债务性资金两部分构成，一是资本金1800.05万元，占总投资的20.69%，二是项目融资、企业自筹资金或者其他债务性资金6900万元，占总投资的79.31%。</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pPr>
        <w:snapToGrid/>
        <w:spacing w:line="240" w:lineRule="auto"/>
        <w:ind w:firstLineChars="200"/>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本项目精准定位为新能源源网荷储一体化标杆项目，专为河南大成包装材料有限公司定制绿色电力能源服务方案。</w:t>
      </w:r>
    </w:p>
    <w:p>
      <w:pPr>
        <w:snapToGrid/>
        <w:spacing w:line="240" w:lineRule="auto"/>
        <w:ind w:firstLineChars="200"/>
        <w:rPr>
          <w:rFonts w:ascii="宋体" w:hAnsi="宋体" w:eastAsia="宋体" w:cs="宋体"/>
          <w:i w:val="false"/>
          <w:strike w:val="false"/>
          <w:color w:val="000000"/>
          <w:spacing w:val="0"/>
          <w:sz w:val="28"/>
          <w:u w:val="none"/>
        </w:rPr>
      </w:pPr>
    </w:p>
    <w:p>
      <w:pPr>
        <w:snapToGrid/>
        <w:spacing w:line="240" w:lineRule="auto"/>
        <w:ind w:firstLineChars="200"/>
        <w:rPr>
          <w:rFonts w:hint="eastAsia"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河南大成包装材料有限公司成立于</w:t>
      </w:r>
      <w:r>
        <w:rPr>
          <w:rFonts w:hint="eastAsia" w:ascii="宋体" w:hAnsi="宋体" w:eastAsia="宋体" w:cs="宋体"/>
          <w:i w:val="false"/>
          <w:strike w:val="false"/>
          <w:color w:val="000000"/>
          <w:spacing w:val="0"/>
          <w:sz w:val="28"/>
          <w:u w:val="none"/>
        </w:rPr>
        <w:t>2016年，前身为成立于2005年的新乡市大成线材有限公司。地处中原大地的获嘉县域</w:t>
      </w:r>
      <w:r>
        <w:rPr>
          <w:rFonts w:hint="eastAsia" w:ascii="宋体" w:hAnsi="宋体" w:eastAsia="宋体" w:cs="宋体"/>
          <w:i w:val="false"/>
          <w:strike w:val="false"/>
          <w:color w:val="000000"/>
          <w:spacing w:val="0"/>
          <w:sz w:val="28"/>
          <w:u w:val="none"/>
          <w:lang w:eastAsia="zh-CN"/>
        </w:rPr>
        <w:t>，</w:t>
      </w:r>
      <w:r>
        <w:rPr>
          <w:rFonts w:hint="eastAsia" w:ascii="宋体" w:hAnsi="宋体" w:eastAsia="宋体" w:cs="宋体"/>
          <w:i w:val="false"/>
          <w:strike w:val="false"/>
          <w:color w:val="000000"/>
          <w:spacing w:val="0"/>
          <w:sz w:val="28"/>
          <w:u w:val="none"/>
        </w:rPr>
        <w:t>公司依托多年来在研发、供应链、销售、服务等方面的技术沉淀与资源积累，通过不断的技术与产品创新，自创办初期20余人发展至今已达全员500余人。经过16年的行业生产经验，自行研制出多条环保、高效、节能的镀锌/镀铜产线，月产销产品12000吨，服务着国内几十家大型企业和上百家中小企业，产品畅销国内各地，产品已通过第三方SGS、RoHS检测认证。广受客户好评。</w:t>
      </w:r>
      <w:r>
        <w:rPr>
          <w:rFonts w:ascii="宋体" w:hAnsi="宋体" w:eastAsia="宋体" w:cs="宋体"/>
          <w:i w:val="false"/>
          <w:strike w:val="false"/>
          <w:spacing w:val="0"/>
          <w:sz w:val="28"/>
          <w:u w:val="none"/>
        </w:rPr>
        <w:t>公司用电量稳定，为生产筑牢根基。未来 5 - 10 年，面对行业更高要求，凭借多方面优势，公司将持续创新，拓展市场，有望在行业中不断进阶，发展潜力巨大。</w:t>
      </w:r>
    </w:p>
    <w:p>
      <w:pPr>
        <w:snapToGrid/>
        <w:spacing w:line="240" w:lineRule="auto"/>
        <w:ind w:firstLineChars="200"/>
        <w:rPr>
          <w:color w:val="000000"/>
        </w:rPr>
      </w:pPr>
      <w:r>
        <w:rPr>
          <w:rFonts w:ascii="宋体" w:hAnsi="宋体" w:eastAsia="宋体" w:cs="宋体"/>
          <w:i w:val="false"/>
          <w:strike w:val="false"/>
          <w:color w:val="000000"/>
          <w:spacing w:val="0"/>
          <w:sz w:val="28"/>
          <w:u w:val="none"/>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pBdr>
          <w:bottom w:val="none" w:color="auto" w:sz="0" w:space="0"/>
        </w:pBdr>
        <w:snapToGrid/>
        <w:spacing w:line="240" w:lineRule="auto"/>
        <w:ind w:firstLineChars="200"/>
        <w:rPr>
          <w:color w:val="000000"/>
        </w:rPr>
      </w:pPr>
      <w:r>
        <w:rPr>
          <w:rFonts w:ascii="宋体" w:hAnsi="宋体" w:eastAsia="宋体" w:cs="宋体"/>
          <w:i w:val="false"/>
          <w:strike w:val="false"/>
          <w:color w:val="000000"/>
          <w:spacing w:val="0"/>
          <w:sz w:val="28"/>
          <w:u w:val="none"/>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pPr>
        <w:pBdr>
          <w:bottom w:val="none" w:color="auto" w:sz="0" w:space="0"/>
        </w:pBdr>
        <w:snapToGrid/>
        <w:spacing w:line="240" w:lineRule="auto"/>
        <w:ind w:firstLineChars="200"/>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false"/>
          <w:strike w:val="false"/>
          <w:color w:val="000000"/>
          <w:spacing w:val="0"/>
          <w:sz w:val="28"/>
          <w:u w:val="none"/>
        </w:rPr>
        <w:t>获嘉县产业集聚区中小企业创业孵化园的源网荷储一体化项目，由获嘉县产业集聚区创业孵化园有限公司全面负责其资金筹措、建设实施及日常运营。该项目创新性地整合光伏发电、储能调峰与用电需求，实现按需直供新能源绿色电力，打破了传统“隔墙售电”限制。此运营模式不仅为园内及外部企业提供安全、稳定、环保且成本效益高的电力解决方案，助力企业成本控制与转型升级，还积极促进了我国“双碳”目标的实现，展现了显著的环保与经济效益</w:t>
      </w:r>
      <w:r>
        <w:rPr>
          <w:rFonts w:hint="eastAsia" w:ascii="宋体" w:hAnsi="宋体" w:eastAsia="宋体" w:cs="宋体"/>
          <w:snapToGrid/>
          <w:color w:val="000000"/>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bookmarkStart w:id="12" w:name="_Toc2135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主要经济技术指标一览表</w:t>
      </w:r>
      <w:bookmarkEnd w:id="12"/>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trPr>
          <w:trHeight w:val="533"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8700.05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8613.11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86.94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1189.51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709.27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549.29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90.12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172.93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480.23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14.90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316.31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149.02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7.86</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2053.51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9.14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2741.43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3.80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13.17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50.64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bookmarkStart w:id="13" w:name="_Toc6245"/>
    <w:bookmarkStart w:id="14" w:name="_Toc31455"/>
    <w:bookmarkStart w:id="15" w:name="_Toc1352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1.2 企业及实际控制人概况</w:t>
      </w:r>
      <w:bookmarkEnd w:id="13"/>
      <w:bookmarkEnd w:id="14"/>
      <w:bookmarkEnd w:id="1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获嘉县产业集聚区创业孵化园有限公司，成立于2020年8月13日，注册资本金为人民币500万元，法定代表人为高本祯，注册地址为河南省新乡市获嘉县城关镇产业集聚区梧桐路与东一路交叉口西南角1号。经营范围：一般项目：低温仓储（不含危险化学品等需许可审批的项目）；普通货物仓储服务（不含危险化学品等需许可审批的项目）；国内货物运输代理；食品销售（仅销售预包装食品）；农副产品销售；非居住房地产租赁；销售代理；贸易经纪；国内贸易代理；会议及展览服务；水产品批发；食用农产品初加工；食用农产品批发；供冷服务；农产品的生产、销售、加工、运输、贮藏及其他相关服务；园区管理服务；供应链管理服务；租赁服务（不含许可类租赁服务）；仓储设备租赁服务；办公设备租赁服务；住房租赁；土地使用权租赁；光伏发电设备租赁；柜台、摊位出租；充电控制设备租赁；计算机及通讯设备租赁；建筑工程机械与设备租赁（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bookmarkStart w:id="16" w:name="_Toc13077"/>
    <w:bookmarkStart w:id="17" w:name="_Toc4195"/>
    <w:bookmarkStart w:id="18" w:name="_Toc24935"/>
    <w:bookmarkStart w:id="19" w:name="_Toc2996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1.3 编制依据</w:t>
      </w:r>
      <w:bookmarkEnd w:id="16"/>
      <w:bookmarkEnd w:id="17"/>
      <w:bookmarkEnd w:id="18"/>
      <w:bookmarkEnd w:id="1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根据项目需要进行调查和收集的设计基础资料。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bookmarkStart w:id="20" w:name="_Toc21802"/>
    <w:bookmarkStart w:id="21" w:name="_Toc1907"/>
    <w:bookmarkStart w:id="22" w:name="_Toc1449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1.4 研究范围</w:t>
      </w:r>
      <w:bookmarkEnd w:id="20"/>
      <w:bookmarkEnd w:id="21"/>
      <w:bookmarkEnd w:id="2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项目建设背景、需求分析及产出方案、项目选址与建设条件、建设规模及内容、项目建设方案、公用工程、绿色建筑、环境保护、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bookmarkStart w:id="23" w:name="_Toc6849"/>
    <w:bookmarkStart w:id="24" w:name="_Toc13156"/>
    <w:bookmarkStart w:id="25" w:name="_Toc13922"/>
    <w:bookmarkStart w:id="26" w:name="_Toc547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 结论及建议</w:t>
      </w:r>
      <w:bookmarkEnd w:id="23"/>
      <w:bookmarkEnd w:id="24"/>
      <w:bookmarkEnd w:id="25"/>
      <w:bookmarkEnd w:id="2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本项目的建设，可以充分合理的利用园区内工业厂房屋顶面积进行开发利用光能资源，满足能源可持续发展的需要；可以促进地区国民经济的可持续发展；可以加快能源电力结构调整；同时改善生态、保护环境；本工程的兴建不仅能减少对电网电力的消耗，减轻当地电网的压力，使用绿色能源，起到节约传统能源的作用，有助于提升企业形象，也可以提高中小企业园的园区形象。</w:t>
      </w:r>
    </w:p>
    <w:p>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为保证本项目能够顺利、稳妥的建设和发展，应注意以下几个方面：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bookmarkStart w:id="27" w:name="_Toc15254"/>
    <w:bookmarkStart w:id="28" w:name="_Toc114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第二章 项目建设背景及必要性</w:t>
      </w:r>
      <w:bookmarkEnd w:id="27"/>
      <w:bookmarkEnd w:id="28"/>
    </w:p>
    <w:bookmarkStart w:id="29" w:name="_Toc29717"/>
    <w:bookmarkStart w:id="30" w:name="_Toc1062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2.1 规划政策符合性</w:t>
      </w:r>
      <w:bookmarkEnd w:id="29"/>
      <w:bookmarkEnd w:id="3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气候变化问题的日益严峻，全球对约束碳排放已经基本达成一致。根据气候、中国经济的现状等条件，中央政府提出以“双碳”战略，2030年前实现碳达峰，2060年前实现碳中和。在这一战略框架下，光伏发电和储能技术成为重要的支撑和突破口。通过大力发展光伏发电及储能技术，利用太阳能资源进行清洁能源生产，配合储能调峰稳定电力运行，可以促进碳减排和能源转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1、新乡市</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整体情况</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获嘉县地处河南省北部，新乡市西部，介于东经 113°39′42″～113°44′20″，北纬 35°9′34″～35°15′37″之间。县域面积 473 平方公里，距新乡市约 20 公里，距省会郑州约 80 公里。下辖 8 镇 3 乡，即城关镇、照镜镇、黄堤镇、中和镇、徐营镇、冯庄镇、亢村镇、史庄镇、太山镇、大新庄乡、位庄乡，共有 219 个行政村，耕地面积 44.8 万亩。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2023年获嘉县的国民生产总值（GDP）为2002022万元，比上年增长2.3%‌‌。其中，第一产业增加值377953万元，增长0.4%；第二产业增加值749021万元，增长3.1%；第三产业增加值875048万元，增长2.3%。三次产业结构为18.9:37.4:43.7‌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的经济运行情况总体稳定，农业生产形势稳定，农产品供给充足。全县农林牧渔业总产值67.3亿元，同比增长2.2%。粮食安全得到保障，尽管受连续降雨影响夏粮有所减产，但粮食总产量仍稳定在37.91万吨。工业生产加快，主导产业支撑作用明显，规模以上工业增加值同比增长7%，其中制造业增加值增长11.8%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2、获嘉县工业生产加快，工业园区较多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获嘉县近年来工业生产呈现出蓬勃加快的发展态势，境内工业园逐渐增多，为经济增长注入了强劲动力。其拥有如获嘉县先进制造业开发区这样的重要产业园区，按照 “一区多园” 的布局，涵盖了现代化工、装备制造、生物医药等多个领域，入驻企业多达 600 余家，其中规模以上工业企业就有 90 家。在现代化工产业园区，依托产业基础与资源优势，吸引了众多化工企业扎根，形成了完整的产业链条，从基础化工原料生产到精细化工产品加工，一应俱全；装备制造产业园内，各类机械加工、装配企业聚集，专注于生产农业机械、工业设备配件以及智能装备等产品，产品远销国内外；生物医药产业也崭露头角，一批专注于制药、医疗器械研发生产的企业蓬勃发展，不断提升着获嘉县在该领域的影响力。此外，像获嘉县精细化工专业园区，聚焦精细化工领域，以巨晶化工等企业为核心，全力打造高端精细化工产业集群，进一步丰富了获嘉县的工业产业结构，众多企业在这片土地上汇聚，通过不断创新与技术升级，推动着获嘉县工业向着更高质量、更具竞争力的方向大步迈进，成为区域经济发展的重要支撑力量，也为当地创造了大量的就业机会和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hint="eastAsia" w:ascii="宋体" w:hAnsi="宋体" w:eastAsia="宋体" w:cs="宋体"/>
          <w:color w:val="auto"/>
          <w:sz w:val="28"/>
          <w:szCs w:val="28"/>
        </w:rPr>
        <w:t>园区工业企业用电需要量较大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工业集聚区发展态势良好，园区内企业众多且用电需求量较大。其中，中新化工凭借其大规模的化工生产设施与复杂的工艺流程，在原材料的提炼、合成以及产品精制等各个环节都离不开大量电力的支撑，大型反应釜、蒸馏塔等设备持续运行，耗电量惊人，是园区电力消耗的重要力量。中小企业孵化园虽企业规模不一，但整体用电量不容小觑，园内机械制造、电子元件加工等企业的各类机床、自动化生产线以及检测设备等同时运转，众多企业的用电需求汇聚起来，形成了可观的用电规模。河南晶瑞日用品在生产过程中，为保证产品的高质量，其消毒、灌装、包装等环节的自动化设备对电力的稳定性和持续性要求极高，特别是在生产高峰期，用电需求急剧上升。大成包装的生产也高度依赖电力，从纸板的切割、印刷到纸箱的成型、装订，一系列大型设备的运转使得用电量居高不下，产生大量的用电需求。</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源网荷储模式能够有效解决</w:t>
      </w:r>
      <w:r>
        <w:rPr>
          <w:rFonts w:hint="eastAsia" w:ascii="宋体" w:hAnsi="宋体" w:eastAsia="宋体" w:cs="宋体"/>
          <w:color w:val="auto"/>
          <w:sz w:val="28"/>
          <w:szCs w:val="28"/>
        </w:rPr>
        <w:t>企业降本</w:t>
      </w:r>
      <w:r>
        <w:rPr>
          <w:rFonts w:hint="eastAsia" w:ascii="宋体" w:hAnsi="宋体" w:eastAsia="宋体" w:cs="宋体"/>
          <w:color w:val="auto"/>
          <w:sz w:val="28"/>
          <w:szCs w:val="28"/>
          <w:lang w:val="en-US" w:eastAsia="zh-CN"/>
        </w:rPr>
        <w:t>增效的</w:t>
      </w:r>
      <w:r>
        <w:rPr>
          <w:rFonts w:hint="eastAsia" w:ascii="宋体" w:hAnsi="宋体" w:eastAsia="宋体" w:cs="宋体"/>
          <w:color w:val="auto"/>
          <w:sz w:val="28"/>
          <w:szCs w:val="28"/>
        </w:rPr>
        <w:t>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大环境</w:t>
      </w:r>
      <w:r>
        <w:rPr>
          <w:rFonts w:hint="eastAsia" w:ascii="宋体" w:hAnsi="宋体" w:eastAsia="宋体" w:cs="宋体"/>
          <w:color w:val="auto"/>
          <w:sz w:val="28"/>
          <w:szCs w:val="28"/>
        </w:rPr>
        <w:t>经济下行已经给企业造成比较大的经营困难。</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的企业经营也遇到困难和问题，获取定单和降低成本是经营中最急迫的工作。在这个市场出清时期，如果企业转型过慢，有可以面临被淘汰出局的风险。拟建项目作为新乡市</w:t>
      </w:r>
      <w:r>
        <w:rPr>
          <w:rFonts w:hint="eastAsia" w:ascii="宋体" w:hAnsi="宋体" w:eastAsia="宋体" w:cs="宋体"/>
          <w:color w:val="auto"/>
          <w:sz w:val="28"/>
          <w:szCs w:val="28"/>
          <w:lang w:val="en-US" w:eastAsia="zh-CN"/>
        </w:rPr>
        <w:t>获嘉县源网荷储</w:t>
      </w:r>
      <w:r>
        <w:rPr>
          <w:rFonts w:hint="eastAsia" w:ascii="宋体" w:hAnsi="宋体" w:eastAsia="宋体" w:cs="宋体"/>
          <w:color w:val="auto"/>
          <w:sz w:val="28"/>
          <w:szCs w:val="28"/>
        </w:rPr>
        <w:t>绿色新能源项目，极大程度上解决企业用电贵、成本高的问题</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同时解决了隔墙售电的问题。</w:t>
      </w:r>
      <w:r>
        <w:rPr>
          <w:rFonts w:hint="eastAsia" w:ascii="宋体" w:hAnsi="宋体" w:eastAsia="宋体" w:cs="宋体"/>
          <w:color w:val="auto"/>
          <w:sz w:val="28"/>
          <w:szCs w:val="28"/>
        </w:rPr>
        <w:t>从根源上降低企业生产成本，给企业转型争取时间和机会，为转型升级提供更有力的支持。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5、源网荷储一体化已成为河南省新能源项目发展趋势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在能源转型的大背景下，源网荷储一体化已成为河南省新能源项目发展的显著趋势。《河南省加快推进源网荷储一体化实施方案》的出台，明确了其在河南能源战略中的关键地位。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b/>
          <w:snapToGrid/>
          <w:color w:val="auto"/>
          <w:spacing w:val="0"/>
          <w:w w:val="100"/>
          <w:kern w:val="2"/>
          <w:position w:val="0"/>
          <w:sz w:val="28"/>
          <w:szCs w:val="28"/>
          <w:lang w:val="en-US" w:eastAsia="zh-CN" w:bidi="zh-CN"/>
        </w:rPr>
        <w:t>政府充分发挥主导作用</w:t>
      </w:r>
      <w:r>
        <w:rPr>
          <w:rFonts w:hint="eastAsia" w:ascii="宋体" w:hAnsi="宋体" w:eastAsia="宋体" w:cs="宋体"/>
          <w:snapToGrid/>
          <w:color w:val="auto"/>
          <w:spacing w:val="0"/>
          <w:w w:val="100"/>
          <w:kern w:val="2"/>
          <w:position w:val="0"/>
          <w:sz w:val="28"/>
          <w:szCs w:val="28"/>
          <w:lang w:val="en-US" w:eastAsia="zh-CN" w:bidi="zh-CN"/>
        </w:rPr>
        <w:t>，积极引导资源配置，营造良好政策环境，从规划到审批，大力支持项目推进。其中，新能源项目库的高效运作机制尤为突出</w:t>
      </w:r>
      <w:r>
        <w:rPr>
          <w:rFonts w:hint="eastAsia" w:ascii="宋体" w:hAnsi="宋体" w:eastAsia="宋体" w:cs="宋体"/>
          <w:b/>
          <w:snapToGrid/>
          <w:color w:val="auto"/>
          <w:spacing w:val="0"/>
          <w:w w:val="100"/>
          <w:kern w:val="2"/>
          <w:position w:val="0"/>
          <w:sz w:val="28"/>
          <w:szCs w:val="28"/>
          <w:lang w:val="en-US" w:eastAsia="zh-CN" w:bidi="zh-CN"/>
        </w:rPr>
        <w:t>。每月开放申报通道，实行即时报、即时批、即时审，</w:t>
      </w:r>
      <w:r>
        <w:rPr>
          <w:rFonts w:hint="eastAsia" w:ascii="宋体" w:hAnsi="宋体" w:eastAsia="宋体" w:cs="宋体"/>
          <w:snapToGrid/>
          <w:color w:val="auto"/>
          <w:spacing w:val="0"/>
          <w:w w:val="100"/>
          <w:kern w:val="2"/>
          <w:position w:val="0"/>
          <w:sz w:val="28"/>
          <w:szCs w:val="28"/>
          <w:lang w:val="en-US" w:eastAsia="zh-CN" w:bidi="zh-CN"/>
        </w:rPr>
        <w:t xml:space="preserve">企业提交的源网荷储一体化项目申请能迅速进入审核流程，短时间内获得审批结果。这一机制极大激发了市场活力，众多企业凭借技术、资金优势积极参与项目申报，抢占新兴领域先机。申报项目落地后，推动能源结构优化升级，大幅提升清洁能源在能源消费中的占比。通过整合能源生产、传输、存储和消费环节，源网荷储一体化项目提高了能源利用效率，降低损耗，增强能源供应的稳定性与可靠性，为河南可持续发展注入强劲动力，助力其在绿色能源道路上稳步前行 </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2.1.2.1 《国家发展改革委 国家能源局关于推进电力源网荷储一体化和多能互补发展的指导意见》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2.1.2.2 《国家发展改革委、国家能源局关于加强电网调峰储能和智能化调度能力建设的指导意见》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ind w:firstLine="560" w:firstLineChars="200"/>
        <w:textAlignment w:val="baseline"/>
        <w:rPr>
          <w:rFonts w:hint="default" w:ascii="宋体" w:hAnsi="宋体" w:eastAsia="宋体" w:cs="宋体"/>
          <w:b w:val="false"/>
          <w:bCs w:val="false"/>
          <w:sz w:val="28"/>
          <w:szCs w:val="28"/>
          <w:lang w:val="en-US" w:eastAsia="zh-CN"/>
        </w:rPr>
      </w:pPr>
      <w:r>
        <w:rPr>
          <w:rFonts w:hint="default" w:ascii="宋体" w:hAnsi="宋体" w:eastAsia="宋体" w:cs="宋体"/>
          <w:b w:val="false"/>
          <w:bCs w:val="false"/>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2.1.2.4 《能源局综合司关于报送源网荷储一体化和多能互补项目有关情况的通知》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《河南省加快推进源网荷储一体化实施方案》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5" name="picture" descr="descript"/>
            <wp:cNvGraphicFramePr/>
            <a:graphic>
              <a:graphicData uri="http://schemas.openxmlformats.org/drawingml/2006/picture">
                <pic:pic>
                  <pic:nvPicPr>
                    <pic:cNvPr id="6" name="picture" descr="descript"/>
                    <pic:cNvPicPr/>
                  </pic:nvPicPr>
                  <pic:blipFill>
                    <a:blip r:embed="rId8"/>
                    <a:stretch>
                      <a:fillRect/>
                    </a:stretch>
                  </pic:blipFill>
                  <pic:spPr>
                    <a:xfrm>
                      <a:off x="0" y="0"/>
                      <a:ext cx="5274310" cy="407236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《河南省工业企业源网荷储一体化项目实施细则（暂行）》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 20 公里范围内新能源资源建设分布式光伏或分散式风电，适当配置储能设施，提升绿电使用比例和系统运行效率，实现源网荷储一体化运行。</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该项目属于</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基础建设项目。项目所涉及的行业不存在行业许可，根据河南省发展和改革委员会关于印发《河南省新能源项目库管理暂行办法》“6兆瓦以下的分布式光伏发电项目(含户用光伏项目)不纳入项目库管理范围，各地根据当地整体开发方案和电网消纳条件推进实施，由电网企业(含增量配网，下同)优先保障并网消纳”。本项目属于完全竞争的行业，可以根据需要自由拓展和开发</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w:t>
      </w:r>
      <w:r>
        <w:rPr>
          <w:rFonts w:hint="eastAsia" w:ascii="宋体" w:hAnsi="宋体" w:eastAsia="宋体" w:cs="宋体"/>
          <w:color w:val="auto"/>
          <w:sz w:val="28"/>
          <w:szCs w:val="28"/>
        </w:rPr>
        <w:t>项目</w:t>
      </w:r>
      <w:r>
        <w:rPr>
          <w:rFonts w:hint="eastAsia" w:ascii="宋体" w:hAnsi="宋体" w:eastAsia="宋体" w:cs="宋体"/>
          <w:color w:val="auto"/>
          <w:sz w:val="28"/>
          <w:szCs w:val="28"/>
          <w:lang w:val="en-US" w:eastAsia="zh-CN"/>
        </w:rPr>
        <w:t>为源网荷储一体化</w:t>
      </w:r>
      <w:r>
        <w:rPr>
          <w:rFonts w:hint="eastAsia" w:ascii="宋体" w:hAnsi="宋体" w:eastAsia="宋体" w:cs="宋体"/>
          <w:color w:val="auto"/>
          <w:sz w:val="28"/>
          <w:szCs w:val="28"/>
        </w:rPr>
        <w:t>基础设施建设。我国光伏发电及储能技术比较成熟，光伏及储能设备成本不高无需巨额资本介入、产业链资源对接等复杂的条件，不存在市场准入条件。本项目产出电量</w:t>
      </w:r>
      <w:r>
        <w:rPr>
          <w:rFonts w:hint="eastAsia" w:ascii="宋体" w:hAnsi="宋体" w:eastAsia="宋体" w:cs="宋体"/>
          <w:color w:val="auto"/>
          <w:sz w:val="28"/>
          <w:szCs w:val="28"/>
          <w:lang w:val="en-US" w:eastAsia="zh-CN"/>
        </w:rPr>
        <w:t>优先出售给项目园区内部企业使用，剩余电量将根据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w:t>
      </w:r>
      <w:r>
        <w:rPr>
          <w:rFonts w:hint="eastAsia" w:ascii="宋体" w:hAnsi="宋体" w:eastAsia="宋体" w:cs="宋体"/>
          <w:color w:val="auto"/>
          <w:sz w:val="28"/>
          <w:szCs w:val="28"/>
        </w:rPr>
        <w:t>，电力消纳不是问题，</w:t>
      </w:r>
      <w:r>
        <w:rPr>
          <w:rFonts w:hint="eastAsia" w:ascii="宋体" w:hAnsi="宋体" w:eastAsia="宋体" w:cs="宋体"/>
          <w:color w:val="auto"/>
          <w:sz w:val="28"/>
          <w:szCs w:val="28"/>
          <w:lang w:val="en-US" w:eastAsia="zh-CN"/>
        </w:rPr>
        <w:t>完全能做到自我消纳，</w:t>
      </w:r>
      <w:r>
        <w:rPr>
          <w:rFonts w:hint="eastAsia" w:ascii="宋体" w:hAnsi="宋体" w:eastAsia="宋体" w:cs="宋体"/>
          <w:color w:val="auto"/>
          <w:sz w:val="28"/>
          <w:szCs w:val="28"/>
        </w:rPr>
        <w:t>不存在市场准入问题</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p>
      <w:pPr>
        <w:snapToGrid/>
        <w:spacing w:before="157" w:after="157" w:line="240" w:lineRule="auto"/>
        <w:ind w:left="0" w:right="0" w:firstLine="420"/>
        <w:jc w:val="both"/>
        <w:rPr/>
      </w:pPr>
      <w:r>
        <w:rPr>
          <w:rFonts w:ascii="宋体" w:hAnsi="宋体" w:eastAsia="宋体" w:cs="宋体"/>
          <w:i w:val="false"/>
          <w:strike w:val="false"/>
          <w:color w:val="000000"/>
          <w:spacing w:val="0"/>
          <w:sz w:val="28"/>
          <w:u w:val="none"/>
        </w:rPr>
        <w:t>本项目建设光伏电站所使用的屋顶为获嘉县产业集聚孵化园项目有限公司名下工业厂房及配套用房9栋，面积31530.09平方米，所有房产均已竣工验收，正在办理不动产权利登记证书。产业园厂房空间道路上方空地等空间较大，可直接按照柔性光伏，可利用面积5677.13㎡。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48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总建筑面积(²)</w:t>
            </w:r>
          </w:p>
        </w:tc>
      </w:tr>
      <w:tr>
        <w:trPr>
          <w:trHeight w:val="23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5232.76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7758.74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6798.84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355"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p>
            <w:pPr>
              <w:widowControl w:val="false"/>
              <w:snapToGrid/>
              <w:spacing w:before="0" w:after="0" w:line="240" w:lineRule="auto"/>
              <w:ind w:left="0" w:right="0"/>
              <w:jc w:val="center"/>
              <w:rPr/>
            </w:pPr>
            <w:r>
              <w:rPr>
                <w:rFonts w:ascii="Calibri" w:hAnsi="Calibri" w:cs="Calibri"/>
                <w:i w:val="false"/>
                <w:strike w:val="false"/>
                <w:color w:val="000000"/>
                <w:spacing w:val="0"/>
                <w:sz w:val="24"/>
                <w:u w:val="none"/>
              </w:rPr>
              <w:t> </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rPr/>
            </w:pPr>
          </w:p>
        </w:tc>
      </w:tr>
    </w:tbl>
    <w:bookmarkStart w:id="31" w:name="_Toc1548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2.2 项目主体发展战略需求分析</w:t>
      </w:r>
      <w:bookmarkEnd w:id="3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 xml:space="preserve">2.2.1 </w:t>
      </w:r>
      <w:r>
        <w:rPr>
          <w:rFonts w:hint="eastAsia" w:ascii="宋体" w:hAnsi="宋体" w:eastAsia="宋体" w:cs="宋体"/>
          <w:b/>
          <w:bCs/>
          <w:sz w:val="28"/>
          <w:szCs w:val="28"/>
          <w:lang w:val="en-US" w:eastAsia="zh-CN"/>
        </w:rPr>
        <w:t>获嘉县</w:t>
      </w:r>
      <w:r>
        <w:rPr>
          <w:rFonts w:hint="eastAsia" w:ascii="宋体" w:hAnsi="宋体" w:eastAsia="宋体" w:cs="宋体"/>
          <w:b/>
          <w:bCs/>
          <w:sz w:val="28"/>
          <w:szCs w:val="28"/>
        </w:rPr>
        <w:t>发展对项目需要分析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val="en-US" w:eastAsia="zh-CN"/>
        </w:rPr>
        <w:t>获嘉县</w:t>
      </w:r>
      <w:r>
        <w:rPr>
          <w:rFonts w:hint="eastAsia" w:ascii="宋体" w:hAnsi="宋体" w:eastAsia="宋体" w:cs="宋体"/>
          <w:b/>
          <w:bCs/>
          <w:color w:val="auto"/>
          <w:sz w:val="28"/>
          <w:szCs w:val="28"/>
        </w:rPr>
        <w:t>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w:t>
      </w:r>
      <w:r>
        <w:rPr>
          <w:rFonts w:hint="eastAsia" w:ascii="宋体" w:hAnsi="宋体" w:eastAsia="宋体" w:cs="宋体"/>
          <w:color w:val="auto"/>
          <w:sz w:val="28"/>
          <w:szCs w:val="28"/>
        </w:rPr>
        <w:t>全</w:t>
      </w:r>
      <w:r>
        <w:rPr>
          <w:rFonts w:hint="eastAsia" w:ascii="宋体" w:hAnsi="宋体" w:eastAsia="宋体" w:cs="宋体"/>
          <w:color w:val="auto"/>
          <w:sz w:val="28"/>
          <w:szCs w:val="28"/>
          <w:lang w:val="en-US" w:eastAsia="zh-CN"/>
        </w:rPr>
        <w:t>县</w:t>
      </w:r>
      <w:r>
        <w:rPr>
          <w:rFonts w:hint="eastAsia" w:ascii="宋体" w:hAnsi="宋体" w:eastAsia="宋体" w:cs="宋体"/>
          <w:color w:val="auto"/>
          <w:sz w:val="28"/>
          <w:szCs w:val="28"/>
        </w:rPr>
        <w:t>经济呈现平稳运行、稳中有进的良好态势。作为一个工业企业聚集区，</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拥有众多蓬勃发展的工业企业，拥有众多政府优惠政策支持。</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以其庞大的工业群体而闻名，涵盖制造业、加工业、</w:t>
      </w:r>
      <w:r>
        <w:rPr>
          <w:rFonts w:hint="eastAsia" w:ascii="宋体" w:hAnsi="宋体" w:eastAsia="宋体" w:cs="宋体"/>
          <w:color w:val="auto"/>
          <w:sz w:val="28"/>
          <w:szCs w:val="28"/>
          <w:lang w:val="en-US" w:eastAsia="zh-CN"/>
        </w:rPr>
        <w:t>化工业、</w:t>
      </w:r>
      <w:r>
        <w:rPr>
          <w:rFonts w:hint="eastAsia" w:ascii="宋体" w:hAnsi="宋体" w:eastAsia="宋体" w:cs="宋体"/>
          <w:color w:val="auto"/>
          <w:sz w:val="28"/>
          <w:szCs w:val="28"/>
        </w:rPr>
        <w:t>绿色能源业等多个行业领域。此外，</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的工业企业对电力的需求也极其巨大，电力作为生产和运营的重要能源，对企业的日常运作至关重要。</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的建设能满足</w:t>
      </w:r>
      <w:r>
        <w:rPr>
          <w:rFonts w:hint="eastAsia" w:ascii="宋体" w:hAnsi="宋体" w:eastAsia="宋体" w:cs="宋体"/>
          <w:color w:val="auto"/>
          <w:sz w:val="28"/>
          <w:szCs w:val="28"/>
          <w:lang w:val="en-US" w:eastAsia="zh-CN"/>
        </w:rPr>
        <w:t>园区内部</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及周边企业</w:t>
      </w:r>
      <w:r>
        <w:rPr>
          <w:rFonts w:hint="eastAsia" w:ascii="宋体" w:hAnsi="宋体" w:eastAsia="宋体" w:cs="宋体"/>
          <w:color w:val="auto"/>
          <w:sz w:val="28"/>
          <w:szCs w:val="28"/>
        </w:rPr>
        <w:t>日常经营用电需求，提供稳定、廉价的用电服务，同时为企业降本增效提供了坚实的保障基础。</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2、获嘉县产业集聚区创业孵化园有限公司需要筹划优质项目丰富经营项目结构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获嘉县产业集聚区创业孵化园有限公司</w:t>
      </w:r>
      <w:r>
        <w:rPr>
          <w:rFonts w:hint="eastAsia" w:ascii="宋体" w:hAnsi="宋体" w:eastAsia="宋体" w:cs="宋体"/>
          <w:color w:val="auto"/>
          <w:sz w:val="28"/>
          <w:szCs w:val="28"/>
          <w:lang w:val="en-US" w:eastAsia="zh-CN"/>
        </w:rPr>
        <w:t>作为</w:t>
      </w:r>
      <w:r>
        <w:rPr>
          <w:rFonts w:hint="eastAsia" w:ascii="宋体" w:hAnsi="宋体" w:eastAsia="宋体" w:cs="宋体"/>
          <w:color w:val="auto"/>
          <w:sz w:val="28"/>
          <w:szCs w:val="28"/>
        </w:rPr>
        <w:t>本项目的项目公司，其目前主要经</w:t>
      </w:r>
      <w:r>
        <w:rPr>
          <w:rFonts w:hint="eastAsia" w:ascii="宋体" w:hAnsi="宋体" w:eastAsia="宋体" w:cs="宋体"/>
          <w:color w:val="auto"/>
          <w:sz w:val="28"/>
          <w:szCs w:val="28"/>
          <w:lang w:val="en-US" w:eastAsia="zh-CN"/>
        </w:rPr>
        <w:t>营仓储冷链服务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普通仓储</w:t>
      </w:r>
      <w:r>
        <w:rPr>
          <w:rFonts w:hint="eastAsia" w:ascii="宋体" w:hAnsi="宋体" w:eastAsia="宋体" w:cs="宋体"/>
          <w:color w:val="auto"/>
          <w:sz w:val="28"/>
          <w:szCs w:val="28"/>
        </w:rPr>
        <w:t>及</w:t>
      </w:r>
      <w:r>
        <w:rPr>
          <w:rFonts w:hint="eastAsia" w:ascii="宋体" w:hAnsi="宋体" w:eastAsia="宋体" w:cs="宋体"/>
          <w:color w:val="auto"/>
          <w:sz w:val="28"/>
          <w:szCs w:val="28"/>
          <w:lang w:val="en-US" w:eastAsia="zh-CN"/>
        </w:rPr>
        <w:t>农产品加工销售</w:t>
      </w:r>
      <w:r>
        <w:rPr>
          <w:rFonts w:hint="eastAsia" w:ascii="宋体" w:hAnsi="宋体" w:eastAsia="宋体" w:cs="宋体"/>
          <w:color w:val="auto"/>
          <w:sz w:val="28"/>
          <w:szCs w:val="28"/>
        </w:rPr>
        <w:t>等活动。经营项目较为传统单一。拟建项目将为获嘉县产业集聚区创业孵化园有限</w:t>
      </w:r>
      <w:r>
        <w:rPr>
          <w:rFonts w:hint="eastAsia" w:ascii="宋体" w:hAnsi="宋体" w:eastAsia="宋体" w:cs="宋体"/>
          <w:color w:val="auto"/>
          <w:sz w:val="28"/>
          <w:szCs w:val="28"/>
          <w:lang w:val="en-US" w:eastAsia="zh-CN"/>
        </w:rPr>
        <w:t>公司</w:t>
      </w:r>
      <w:r>
        <w:rPr>
          <w:rFonts w:hint="eastAsia" w:ascii="宋体" w:hAnsi="宋体" w:eastAsia="宋体" w:cs="宋体"/>
          <w:color w:val="auto"/>
          <w:sz w:val="28"/>
          <w:szCs w:val="28"/>
        </w:rPr>
        <w:t>丰富经营项目结构提供一个适宜的目标，并在项目运作过程中积累经验和资金，促进经营性转型。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t>2.2.2 拟建项目对促进获嘉县发展战略落地的紧迫性和重要性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目前，在</w:t>
      </w:r>
      <w:r>
        <w:rPr>
          <w:rFonts w:hint="eastAsia" w:ascii="宋体" w:hAnsi="宋体" w:eastAsia="宋体" w:cs="宋体"/>
          <w:color w:val="auto"/>
          <w:sz w:val="28"/>
          <w:szCs w:val="28"/>
          <w:lang w:val="en-US" w:eastAsia="zh-CN"/>
        </w:rPr>
        <w:t>经济趋势下行的</w:t>
      </w:r>
      <w:r>
        <w:rPr>
          <w:rFonts w:hint="eastAsia" w:ascii="宋体" w:hAnsi="宋体" w:eastAsia="宋体" w:cs="宋体"/>
          <w:color w:val="auto"/>
          <w:sz w:val="28"/>
          <w:szCs w:val="28"/>
        </w:rPr>
        <w:t>大环境下</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企业经营普遍遇到困难，降本增效是经营中最急迫的工作。在这个市场出清时期，如果企业寻找出减低经营成本道路，有可以面临被淘汰出局的风险。拟建项目利用</w:t>
      </w:r>
      <w:r>
        <w:rPr>
          <w:rFonts w:hint="eastAsia" w:ascii="宋体" w:hAnsi="宋体" w:eastAsia="宋体" w:cs="宋体"/>
          <w:color w:val="auto"/>
          <w:sz w:val="28"/>
          <w:szCs w:val="28"/>
          <w:lang w:val="en-US" w:eastAsia="zh-CN"/>
        </w:rPr>
        <w:t>源网荷储一体化的优势和政府支持条件</w:t>
      </w:r>
      <w:r>
        <w:rPr>
          <w:rFonts w:hint="eastAsia" w:ascii="宋体" w:hAnsi="宋体" w:eastAsia="宋体" w:cs="宋体"/>
          <w:color w:val="auto"/>
          <w:sz w:val="28"/>
          <w:szCs w:val="28"/>
        </w:rPr>
        <w:t>，极大程度上解决</w:t>
      </w:r>
      <w:r>
        <w:rPr>
          <w:rFonts w:hint="eastAsia" w:ascii="宋体" w:hAnsi="宋体" w:eastAsia="宋体" w:cs="宋体"/>
          <w:color w:val="auto"/>
          <w:sz w:val="28"/>
          <w:szCs w:val="28"/>
          <w:lang w:val="en-US" w:eastAsia="zh-CN"/>
        </w:rPr>
        <w:t>项目园区内及周边</w:t>
      </w:r>
      <w:r>
        <w:rPr>
          <w:rFonts w:hint="eastAsia" w:ascii="宋体" w:hAnsi="宋体" w:eastAsia="宋体" w:cs="宋体"/>
          <w:color w:val="auto"/>
          <w:sz w:val="28"/>
          <w:szCs w:val="28"/>
        </w:rPr>
        <w:t>中小企业用电贵、成本高的困境，更能提高能源供给的可靠性和稳定性，从能源方面降低企业生产成本，也能给企业转型升级争取时间和机会。</w:t>
      </w:r>
    </w:p>
    <w:bookmarkStart w:id="32" w:name="_Toc23765"/>
    <w:bookmarkStart w:id="33" w:name="_Toc548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2.3 项目市场需求分析</w:t>
      </w:r>
      <w:bookmarkEnd w:id="32"/>
      <w:bookmarkEnd w:id="3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 “蓄水池” 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pPr>
        <w:keepNext w:val="false"/>
        <w:keepLines w:val="false"/>
        <w:pageBreakBefore w:val="false"/>
        <w:widowControl w:val="false"/>
        <w:kinsoku/>
        <w:wordWrap/>
        <w:overflowPunct/>
        <w:topLinePunct/>
        <w:autoSpaceDE w:val="false"/>
        <w:autoSpaceDN w:val="false"/>
        <w:bidi w:val="false"/>
        <w:adjustRightInd/>
        <w:snapToGrid/>
        <w:spacing w:before="157" w:beforeLines="50" w:after="157" w:afterLines="50" w:line="360" w:lineRule="auto"/>
        <w:ind w:left="0" w:leftChars="0" w:right="0" w:firstLine="560" w:firstLineChars="200"/>
        <w:jc w:val="both"/>
        <w:rPr/>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ascii="宋体" w:hAnsi="宋体" w:eastAsia="宋体" w:cs="宋体"/>
          <w:i w:val="false"/>
          <w:strike w:val="false"/>
          <w:spacing w:val="0"/>
          <w:sz w:val="28"/>
          <w:u w:val="none"/>
        </w:rPr>
        <w:t>新乡市腾飞纸业有限公司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项目年产出绿电约为717.57万KWH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ascii="宋体" w:hAnsi="宋体" w:eastAsia="宋体" w:cs="宋体"/>
          <w:i w:val="false"/>
          <w:strike w:val="false"/>
          <w:spacing w:val="0"/>
          <w:sz w:val="28"/>
          <w:u w:val="none"/>
        </w:rPr>
        <w:t>河南大成包装材料有限公司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为4752.00万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，该企业是24小时不间断生产，相应每天用电时段用电量平均，</w:t>
      </w:r>
      <w:r>
        <w:rPr>
          <w:rFonts w:hint="eastAsia" w:ascii="宋体" w:hAnsi="宋体" w:eastAsia="宋体" w:cs="宋体"/>
          <w:b/>
          <w:color w:val="auto"/>
          <w:sz w:val="28"/>
          <w:szCs w:val="28"/>
          <w:lang w:val="en-US" w:eastAsia="zh-CN"/>
        </w:rPr>
        <w:t>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r>
        <w:rPr>
          <w:rFonts w:hint="eastAsia" w:ascii="宋体" w:hAnsi="宋体" w:eastAsia="宋体" w:cs="宋体"/>
          <w:color w:val="auto"/>
          <w:sz w:val="28"/>
          <w:szCs w:val="28"/>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 “双碳” 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1、项目供电价格低于传统供电价格</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企业通过使用绿色能源供电相较于使用传统供电，可以获得更低的电价，从而在节省企业运营成本方面具有显著的优势。本项目系能源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2、绿色电力可以协同中小企业绿色转型</w:t>
      </w:r>
    </w:p>
    <w:p>
      <w:pPr>
        <w:snapToGrid/>
        <w:spacing w:before="0" w:after="0" w:line="360" w:lineRule="auto"/>
        <w:ind w:left="0" w:right="0" w:firstLine="560" w:firstLineChars="200"/>
        <w:jc w:val="both"/>
        <w:rPr/>
      </w:pPr>
      <w:r>
        <w:rPr>
          <w:rFonts w:ascii="宋体" w:hAnsi="宋体" w:eastAsia="宋体" w:cs="宋体"/>
          <w:i w:val="false"/>
          <w:strike w:val="false"/>
          <w:color w:val="000000"/>
          <w:sz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3、源网荷储根据周边企业用电需求进行降本增效提供了安全廉价的绿色电力能源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 2024 年 12 月 23 日，河南省已实施五批源网荷储一体化项目，规模共计 5.225GW。其中工业企业类项目占比较大，在已实施的 253 个项目中，工业企业类项目有 49 个，占总项目数的比例并不是 60%，但工业企业类项目在项目规模上占据了重要部分。以下是对这一情况的具体介绍：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 月 21 日，河南省发改委发布《关于实施第一批源网荷储一体化项目的通知》，共包含 63 个新能源项目，合计规模为 2.145GW，其中工业企业类项目 49 个，规模共计 1254.3MW。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 月 23 日，河南省发改委发布《关于实施第二批源网荷储一体化项目的通知》，工业企业类 40 个项目纳入第二批实施范围，新能源总规模 917.71MW。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45</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44</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 月 30 日，河南省发改委发布《关于实施第三批源网荷储一体化项目（工业企业类、增量配电网类）的通知》，工业企业类 19 个项目纳入第三批实施范围，总规模为 637.6MW。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 月 4 日，河南省发展和改革委员会发布《关于实施第四批源网荷储一体化项目的通知》，本批次涉及项目规模共 653.91MW。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59</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 月 23 日，河南省发改委发布《关于实施第五批源网荷储一体化项目的通知》，工业企业类 49 个项目纳入第五批实施范围，规模共 823.999MW，包含风电 511.1MW，光伏 312.899MW。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56</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根据以上内容，</w:t>
      </w:r>
      <w:r>
        <w:rPr>
          <w:rFonts w:hint="eastAsia" w:ascii="宋体" w:hAnsi="宋体" w:eastAsia="宋体" w:cs="宋体"/>
          <w:snapToGrid/>
          <w:color w:val="000000"/>
          <w:spacing w:val="0"/>
          <w:w w:val="100"/>
          <w:kern w:val="2"/>
          <w:position w:val="0"/>
          <w:sz w:val="28"/>
          <w:szCs w:val="28"/>
          <w:lang w:val="en-US" w:eastAsia="zh-CN" w:bidi="zh-CN"/>
        </w:rPr>
        <w:t>河南省已实施源网荷储一体化项目第一批至第五批次，新乡市有8个项目申报建设，此间无获嘉县区域项目，</w:t>
      </w:r>
      <w:r>
        <w:rPr>
          <w:rFonts w:hint="eastAsia" w:ascii="宋体" w:hAnsi="宋体" w:eastAsia="宋体" w:cs="宋体"/>
          <w:snapToGrid/>
          <w:color w:val="auto"/>
          <w:spacing w:val="0"/>
          <w:w w:val="100"/>
          <w:kern w:val="2"/>
          <w:position w:val="0"/>
          <w:sz w:val="28"/>
          <w:szCs w:val="28"/>
          <w:lang w:val="en-US" w:eastAsia="zh-CN" w:bidi="zh-CN"/>
        </w:rPr>
        <w:t>市场拥有量为零。</w:t>
      </w:r>
    </w:p>
    <w:bookmarkStart w:id="34" w:name="_Toc2496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2.4 项目建设内容、规模及产出</w:t>
      </w:r>
      <w:bookmarkEnd w:id="3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false"/>
          <w:bCs w:val="false"/>
          <w:sz w:val="28"/>
          <w:szCs w:val="28"/>
          <w:lang w:val="en-US" w:eastAsia="zh-CN"/>
        </w:rPr>
        <w:t>已项目建设地为核心点半径20公里内有较大用电需求的企业提供绿色新能源电力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sz w:val="28"/>
        </w:rPr>
        <w:t>1</w:t>
      </w:r>
      <w:r>
        <w:rPr>
          <w:rFonts w:hint="eastAsia" w:ascii="宋体" w:hAnsi="宋体" w:eastAsia="宋体" w:cs="宋体"/>
          <w:snapToGrid/>
          <w:color w:val="auto"/>
          <w:spacing w:val="0"/>
          <w:w w:val="100"/>
          <w:kern w:val="2"/>
          <w:position w:val="0"/>
          <w:sz w:val="28"/>
          <w:szCs w:val="28"/>
          <w:lang w:val="en-US" w:eastAsia="zh-CN" w:bidi="zh-CN"/>
        </w:rPr>
        <w:t>、近期目标（2024-2025）：架设光伏，安装储能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pPr>
        <w:snapToGrid/>
        <w:spacing w:line="240" w:lineRule="auto"/>
        <w:ind w:firstLineChars="200"/>
        <w:rPr>
          <w:color w:val="000000"/>
        </w:rPr>
      </w:pPr>
      <w:r>
        <w:rPr>
          <w:rFonts w:ascii="宋体" w:hAnsi="宋体" w:eastAsia="宋体" w:cs="宋体"/>
          <w:i w:val="false"/>
          <w:strike w:val="false"/>
          <w:color w:val="000000"/>
          <w:spacing w:val="0"/>
          <w:sz w:val="28"/>
          <w:u w:val="none"/>
        </w:rPr>
        <w:t>本项目在园区内工业厂房屋顶部署5950KW的分布式光伏发电系统，并配套建设用户侧储能设施，总规模达到20MW/40MWh。此外，项目还规划安装5个光伏充电桩，并同步实施园区绿化及其他相关配套工程。通过源网荷储一体化方案，本项目将直接将所发绿色电力供给河南大成包装材料有限公司。</w:t>
      </w:r>
    </w:p>
    <w:p>
      <w:pPr>
        <w:pBdr>
          <w:bottom w:val="none" w:color="auto" w:sz="0" w:space="0"/>
        </w:pBdr>
        <w:snapToGrid/>
        <w:spacing w:before="157" w:after="157" w:line="360" w:lineRule="auto"/>
        <w:ind w:left="0" w:firstLine="560" w:firstLineChars="200"/>
        <w:jc w:val="both"/>
        <w:rPr>
          <w:rFonts w:ascii="宋体" w:hAnsi="宋体" w:eastAsia="宋体" w:cs="宋体"/>
          <w:i w:val="false"/>
          <w:strike w:val="false"/>
          <w:color w:val="FF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项目规划利用获嘉县产业集聚区中小企业创业孵化园项目屋顶面积为31530.09m²，园区内可使用道路区域面积为12267.68m²，合计可使用面积为42807.95m²。房产及按照柔性光伏详细情况如下：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48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总建筑面积(²)</w:t>
            </w:r>
          </w:p>
        </w:tc>
      </w:tr>
      <w:tr>
        <w:trPr>
          <w:trHeight w:val="23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5232.76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7758.74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6798.84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5780.76 </w:t>
            </w:r>
          </w:p>
        </w:tc>
      </w:tr>
      <w:tr>
        <w:trPr>
          <w:trHeight w:val="256"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64"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4321.26 </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50096.4</w:t>
            </w:r>
          </w:p>
        </w:tc>
      </w:tr>
      <w:tr>
        <w:trPr>
          <w:trHeight w:val="355"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可使用空闲区域占用面积</w:t>
            </w:r>
          </w:p>
          <w:p>
            <w:pPr>
              <w:widowControl w:val="false"/>
              <w:snapToGrid/>
              <w:spacing w:before="0" w:after="0" w:line="240" w:lineRule="auto"/>
              <w:ind w:left="0" w:right="0"/>
              <w:jc w:val="center"/>
              <w:rPr/>
            </w:pPr>
            <w:r>
              <w:rPr>
                <w:rFonts w:ascii="Calibri" w:hAnsi="Calibri" w:cs="Calibri"/>
                <w:i w:val="false"/>
                <w:strike w:val="false"/>
                <w:color w:val="000000"/>
                <w:spacing w:val="0"/>
                <w:sz w:val="24"/>
                <w:u w:val="none"/>
              </w:rPr>
              <w:t> </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 </w:t>
            </w:r>
          </w:p>
        </w:tc>
      </w:tr>
      <w:tr>
        <w:trPr>
          <w:trHeight w:val="256"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pPr>
            <w:r>
              <w:rPr>
                <w:rFonts w:ascii="宋体" w:hAnsi="宋体" w:eastAsia="宋体" w:cs="宋体"/>
                <w:i w:val="false"/>
                <w:strike w:val="false"/>
                <w:color w:val="000000"/>
                <w:spacing w:val="0"/>
                <w:sz w:val="22"/>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rPr/>
            </w:pPr>
          </w:p>
        </w:tc>
      </w:tr>
    </w:tbl>
    <w:bookmarkStart w:id="35" w:name="_Toc337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2.5 项目商业模式</w:t>
      </w:r>
      <w:bookmarkEnd w:id="3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 20 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w:t>
      </w:r>
      <w:r>
        <w:rPr>
          <w:rFonts w:hint="eastAsia" w:ascii="宋体" w:hAnsi="宋体" w:eastAsia="宋体" w:cs="宋体"/>
          <w:i w:val="false"/>
          <w:strike w:val="false"/>
          <w:color w:val="000000"/>
          <w:spacing w:val="0"/>
          <w:sz w:val="28"/>
          <w:u w:val="none"/>
          <w:vertAlign w:val="baseline"/>
        </w:rPr>
        <w:t>河南大成包装材料有限公司</w:t>
      </w:r>
      <w:r>
        <w:rPr>
          <w:rFonts w:ascii="宋体" w:hAnsi="宋体" w:eastAsia="宋体" w:cs="宋体"/>
          <w:i w:val="false"/>
          <w:strike w:val="false"/>
          <w:color w:val="000000"/>
          <w:spacing w:val="0"/>
          <w:sz w:val="28"/>
          <w:u w:val="none"/>
          <w:vertAlign w:val="baseline"/>
        </w:rPr>
        <w:t>签订合同，在合同期内，通过源网荷储模式为其提供电力。在运营过程中，公司精准监测和分析</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的用电数据，利用光伏发电和储能系统的协同运作，满足其用电需求并降低用电成本。</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在综合开发层面，项目综合开发采用光伏 + 储能 + 光储充电桩相结合的方式。以光伏发电为基础，将太阳能转化为电能，除直接供给腾飞纸业使用外，还为储能系统充电。储能系统发挥 “削峰填谷” 作用，在电力低谷时储存电能，在高峰时段释放电能，平抑电价波动，保障对</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的电力稳定供应，降低其用电成本。光储充电桩的设置则进一步拓展了项目的应用场景，一方面满足了</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内部及来访人员的新能源汽车充电需求，另一方面，在充电桩闲置时可将多余电能回馈至电网或供企业使用，提高了能源的综合利用效率。通过这种综合开发方式，形成了一个高效、循环的能源生态系统，不仅保障了企业的能源供应，还拓展了项目的盈利渠道，提升了项目整体的市场竞争力与可持续发展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pPr>
        <w:snapToGrid w:val="false"/>
        <w:spacing w:before="0" w:after="0" w:line="240" w:lineRule="auto"/>
        <w:ind w:left="0" w:right="0"/>
        <w:jc w:val="left"/>
        <w:rPr/>
      </w:pP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bookmarkStart w:id="36" w:name="_Toc23623"/>
    <w:bookmarkStart w:id="37" w:name="_Toc1526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第三章 项目选址与要素保障</w:t>
      </w:r>
      <w:bookmarkEnd w:id="36"/>
      <w:bookmarkEnd w:id="37"/>
    </w:p>
    <w:bookmarkStart w:id="38" w:name="_Toc26467"/>
    <w:bookmarkStart w:id="39" w:name="_Toc1516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3.1 项目地址</w:t>
      </w:r>
      <w:bookmarkEnd w:id="38"/>
      <w:bookmarkEnd w:id="39"/>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梧桐路与安王公路交叉口东南角。项目周边规划有完善的给排水、供电、通讯等配套基础设施，能够满足项目建设及运营期的需要。项目区处于产业园内，且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bookmarkStart w:id="40" w:name="_Toc7467"/>
    <w:bookmarkStart w:id="41" w:name="_Toc1286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3.2 项目建设条件</w:t>
      </w:r>
      <w:bookmarkEnd w:id="40"/>
      <w:bookmarkEnd w:id="4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产业化开发示范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bookmarkStart w:id="42" w:name="_Toc26511"/>
    <w:bookmarkStart w:id="43" w:name="_Toc28200"/>
    <w:p>
      <w:pPr>
        <w:pStyle w:val="000007"/>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jc w:val="both"/>
        <w:textAlignment w:val="baseline"/>
        <w:rPr/>
      </w:pPr>
      <w:r>
        <w:rPr>
          <w:rFonts w:ascii="宋体" w:hAnsi="宋体" w:eastAsia="宋体" w:cs="宋体"/>
          <w:b/>
          <w:i w:val="false"/>
          <w:strike w:val="false"/>
          <w:color w:val="000000"/>
          <w:spacing w:val="0"/>
          <w:sz w:val="28"/>
          <w:u w:val="none"/>
          <w:vertAlign w:val="baseline"/>
        </w:rPr>
        <w:t>3.3 要素保障分析</w:t>
      </w:r>
      <w:bookmarkEnd w:id="42"/>
      <w:bookmarkEnd w:id="4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3、该项目施工全部在既有建筑土地上进行，不涉及森林、草皮等植被破坏，生态承载能力及其保障条件充分。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color w:val="auto"/>
          <w:spacing w:val="0"/>
          <w:w w:val="100"/>
          <w:kern w:val="2"/>
          <w:position w:val="0"/>
          <w:sz w:val="28"/>
          <w:szCs w:val="28"/>
          <w:lang w:val="en-US" w:eastAsia="zh-CN" w:bidi="ar-SA"/>
        </w:rPr>
        <w:br w:type="page"/>
      </w:r>
    </w:p>
    <w:bookmarkStart w:id="44" w:name="_Toc3039"/>
    <w:bookmarkStart w:id="45" w:name="_Toc1401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000000"/>
          <w:sz w:val="36"/>
          <w:szCs w:val="36"/>
          <w:lang w:val="en-US" w:eastAsia="zh-CN"/>
        </w:rPr>
      </w:pPr>
      <w:r>
        <w:rPr>
          <w:rFonts w:hint="eastAsia" w:ascii="宋体" w:hAnsi="宋体" w:eastAsia="宋体" w:cs="宋体"/>
          <w:b/>
          <w:bCs/>
          <w:color w:val="000000"/>
          <w:sz w:val="36"/>
          <w:szCs w:val="36"/>
          <w:lang w:val="en-US" w:eastAsia="zh-CN"/>
        </w:rPr>
        <w:t>第四章 项目建设方案</w:t>
      </w:r>
      <w:bookmarkEnd w:id="44"/>
      <w:bookmarkEnd w:id="45"/>
    </w:p>
    <w:bookmarkStart w:id="46" w:name="_Toc323"/>
    <w:bookmarkStart w:id="47" w:name="_Toc246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4.1 技术方案</w:t>
      </w:r>
      <w:bookmarkEnd w:id="46"/>
      <w:bookmarkEnd w:id="47"/>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本项目主要建设内容分布式</w:t>
      </w:r>
      <w:r>
        <w:rPr>
          <w:rFonts w:hint="eastAsia" w:ascii="宋体" w:hAnsi="宋体" w:eastAsia="宋体" w:cs="宋体"/>
          <w:i w:val="false"/>
          <w:strike w:val="false"/>
          <w:color w:val="000000"/>
          <w:spacing w:val="0"/>
          <w:sz w:val="28"/>
          <w:u w:val="none"/>
          <w:vertAlign w:val="baseline"/>
          <w:lang w:val="en-US" w:eastAsia="zh-CN"/>
        </w:rPr>
        <w:t>光伏发电设备及储能设备</w:t>
      </w:r>
      <w:r>
        <w:rPr>
          <w:rFonts w:ascii="宋体" w:hAnsi="宋体" w:eastAsia="宋体" w:cs="宋体"/>
          <w:i w:val="false"/>
          <w:strike w:val="false"/>
          <w:color w:val="000000"/>
          <w:spacing w:val="0"/>
          <w:sz w:val="28"/>
          <w:u w:val="none"/>
          <w:vertAlign w:val="baseline"/>
        </w:rPr>
        <w:t>，项目不涉及生产方法、生产工艺技术。在建设方面，河南省具有实力的且经验丰富的设计单位和施工单位众多，项目建设方面成熟的生产工艺，工艺成熟、可靠性强。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9、根据该项目的产品方案，所选用的工艺流程能够满足该项目产品的要求，同时，加强员工技术培训，严格质量管理，严格按照工艺流程技术要求进行操作，提高产品合格率。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bookmarkStart w:id="48" w:name="_Toc12497"/>
    <w:bookmarkStart w:id="49" w:name="_Toc1055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4.2 设备方案</w:t>
      </w:r>
      <w:bookmarkEnd w:id="48"/>
      <w:bookmarkEnd w:id="4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晶澳高效单晶550W组件；组件采用应用密排电池技术，组件效率提升至21.3%。应用多主栅（MBB）技术，能够缩短细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pPr>
        <w:ind w:firstLine="0" w:firstLineChars="0"/>
        <w:rPr/>
      </w:pPr>
      <w:r>
        <w:rPr/>
        <w:drawing>
          <wp:inline distT="0" distB="0" distL="0" distR="0">
            <wp:extent cx="5340985" cy="6972300"/>
            <wp:effectExtent l="0" t="0" r="8255" b="7620"/>
            <wp:docPr id="8" name="图片 2"/>
            <wp:cNvGraphicFramePr>
              <a:graphicFrameLocks noChangeAspect="true"/>
            </wp:cNvGraphicFramePr>
            <a:graphic>
              <a:graphicData uri="http://schemas.openxmlformats.org/drawingml/2006/picture">
                <pic:pic>
                  <pic:nvPicPr>
                    <pic:cNvPr id="9" name="图片 2"/>
                    <pic:cNvPicPr>
                      <a:picLocks noChangeAspect="true"/>
                    </pic:cNvPicPr>
                  </pic:nvPicPr>
                  <pic:blipFill>
                    <a:blip r:embed="rId9" cstate="print"/>
                    <a:stretch>
                      <a:fillRect/>
                    </a:stretch>
                  </pic:blipFill>
                  <pic:spPr>
                    <a:xfrm>
                      <a:off x="0" y="0"/>
                      <a:ext cx="5340985" cy="6979995"/>
                    </a:xfrm>
                    <a:prstGeom prst="rect">
                      <a:avLst/>
                    </a:prstGeom>
                  </pic:spPr>
                </pic:pic>
              </a:graphicData>
            </a:graphic>
          </wp:inline>
        </w:drawing>
      </w:r>
    </w:p>
    <w:p>
      <w:pPr>
        <w:ind w:firstLine="0" w:firstLineChars="0"/>
        <w:rPr/>
      </w:pPr>
      <w:r>
        <w:rPr/>
        <w:drawing>
          <wp:inline distT="0" distB="0" distL="0" distR="0">
            <wp:extent cx="5269865" cy="7641590"/>
            <wp:effectExtent l="0" t="0" r="3175" b="8890"/>
            <wp:docPr id="11" name="图片 3"/>
            <wp:cNvGraphicFramePr>
              <a:graphicFrameLocks noChangeAspect="true"/>
            </wp:cNvGraphicFramePr>
            <a:graphic>
              <a:graphicData uri="http://schemas.openxmlformats.org/drawingml/2006/picture">
                <pic:pic>
                  <pic:nvPicPr>
                    <pic:cNvPr id="12" name="图片 3"/>
                    <pic:cNvPicPr>
                      <a:picLocks noChangeAspect="true"/>
                    </pic:cNvPicPr>
                  </pic:nvPicPr>
                  <pic:blipFill>
                    <a:blip r:embed="rId10" cstate="print"/>
                    <a:stretch>
                      <a:fillRect/>
                    </a:stretch>
                  </pic:blipFill>
                  <pic:spPr>
                    <a:xfrm>
                      <a:off x="0" y="0"/>
                      <a:ext cx="5269865" cy="766901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光伏发电系统总体电气技术方案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光伏发电系统主要由：太阳电池组件、汇流箱、逆变器、10/0.8kV箱变、并网柜等主要元器件组成，光伏组件发出直流电集中至汇流箱，经逆变器转换为交流电，交流电升压至10kV并入电网，供负载使用。</w:t>
      </w:r>
    </w:p>
    <w:p>
      <w:pPr>
        <w:ind w:firstLine="0" w:firstLineChars="0"/>
        <w:rPr/>
      </w:pPr>
      <w:r>
        <w:rPr/>
        <w:drawing>
          <wp:inline distT="0" distB="0" distL="0" distR="0">
            <wp:extent cx="5400675" cy="4464685"/>
            <wp:effectExtent l="0" t="0" r="9525" b="635"/>
            <wp:docPr id="14" name="图片 2"/>
            <wp:cNvGraphicFramePr>
              <a:graphicFrameLocks noChangeAspect="true"/>
            </wp:cNvGraphicFramePr>
            <a:graphic>
              <a:graphicData uri="http://schemas.openxmlformats.org/drawingml/2006/picture">
                <pic:pic>
                  <pic:nvPicPr>
                    <pic:cNvPr id="15" name="图片 2"/>
                    <pic:cNvPicPr>
                      <a:picLocks noChangeAspect="true" noChangeArrowheads="true"/>
                    </pic:cNvPicPr>
                  </pic:nvPicPr>
                  <pic:blipFill>
                    <a:blip r:embed="rId11" cstate="print"/>
                    <a:srcRect l="4508" t="4080" r="4119" b="3803"/>
                    <a:stretch>
                      <a:fillRect/>
                    </a:stretch>
                  </pic:blipFill>
                  <pic:spPr>
                    <a:xfrm>
                      <a:off x="0" y="0"/>
                      <a:ext cx="5400675" cy="4480737"/>
                    </a:xfrm>
                    <a:prstGeom prst="rect">
                      <a:avLst/>
                    </a:prstGeom>
                    <a:noFill/>
                    <a:ln>
                      <a:noFill/>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图4-2伏发电系统原理结构图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（1）太阳能光伏组件与金属屋面及建筑物主体避雷系统做可靠连接，能够有效的将入侵雷电导入大地。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（2）所有布置的线槽金属外壳与建筑物主体接地系作可靠接地连接，起到有效防雷和削减雷电影响。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（4）逆变器交流输出侧逆变器有防雷、过压、欠压、漏电等各种保护功能，起到防雷击保护作用；同时逆变器交流输出与外部公共电网并接，外部公共电网的防雷系统起到有效地保护。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规划装机容量5950KW，该系统具体配置清单如下：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drawing>
          <wp:inline distT="0" distB="0" distL="0" distR="0">
            <wp:extent cx="5276850" cy="4684395"/>
            <wp:effectExtent l="0" t="0" r="0" b="0"/>
            <wp:docPr id="17" name="picture" descr="descript"/>
            <wp:cNvGraphicFramePr/>
            <a:graphic>
              <a:graphicData uri="http://schemas.openxmlformats.org/drawingml/2006/picture">
                <pic:pic>
                  <pic:nvPicPr>
                    <pic:cNvPr id="18" name="picture" descr="descript"/>
                    <pic:cNvPicPr/>
                  </pic:nvPicPr>
                  <pic:blipFill>
                    <a:blip r:embed="rId12"/>
                    <a:srcRect/>
                    <a:stretch>
                      <a:fillRect/>
                    </a:stretch>
                  </pic:blipFill>
                  <pic:spPr>
                    <a:xfrm>
                      <a:off x="0" y="0"/>
                      <a:ext cx="5276850" cy="4684670"/>
                    </a:xfrm>
                    <a:prstGeom prst="rect">
                      <a:avLst/>
                    </a:prstGeom>
                  </pic:spPr>
                </pic:pic>
              </a:graphicData>
            </a:graphic>
          </wp:inline>
        </w:drawing>
      </w:r>
      <w:r>
        <w:rPr>
          <w:rFonts w:hint="eastAsia" w:ascii="宋体" w:hAnsi="宋体" w:eastAsia="宋体" w:cs="宋体"/>
          <w:b/>
          <w:bCs/>
          <w:sz w:val="28"/>
          <w:szCs w:val="28"/>
          <w:lang w:val="en-US" w:eastAsia="zh-CN"/>
        </w:rPr>
        <w:t>4.2.6 光伏支架设计</w:t>
      </w:r>
    </w:p>
    <w:bookmarkStart w:id="50" w:name="OLE_LINK147"/>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型系数取1.3。屋面光伏电站不考虑地震作用，位移计算采用各荷载分项系数均应取为1.0；承载力计算时，荷载分项系数按下表采用。</w:t>
      </w:r>
    </w:p>
    <w:p>
      <w:pPr>
        <w:ind w:left="0" w:leftChars="0" w:firstLine="0" w:firstLineChars="0"/>
        <w:rPr/>
      </w:pPr>
      <w:r>
        <w:rPr/>
        <w:drawing>
          <wp:inline distT="0" distB="0" distL="0" distR="0">
            <wp:extent cx="5429250" cy="1562100"/>
            <wp:effectExtent l="0" t="0" r="11430" b="7620"/>
            <wp:docPr id="20" name="图片 17"/>
            <wp:cNvGraphicFramePr>
              <a:graphicFrameLocks noChangeAspect="true"/>
            </wp:cNvGraphicFramePr>
            <a:graphic>
              <a:graphicData uri="http://schemas.openxmlformats.org/drawingml/2006/picture">
                <pic:pic>
                  <pic:nvPicPr>
                    <pic:cNvPr id="21" name="图片 17"/>
                    <pic:cNvPicPr>
                      <a:picLocks noChangeAspect="true" noChangeArrowheads="true"/>
                    </pic:cNvPicPr>
                  </pic:nvPicPr>
                  <pic:blipFill>
                    <a:blip r:embed="rId13" cstate="print"/>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5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电池板组件支撑系统安装施工固定支架结构形式为：将导轨固定彩钢瓦上，将组件通过压块固定在导轨上。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支架安装示意图如下所示：</w:t>
      </w:r>
    </w:p>
    <w:p>
      <w:pPr>
        <w:pStyle w:val="00000c"/>
        <w:ind w:left="0" w:leftChars="0" w:firstLine="0" w:firstLineChars="0"/>
        <w:jc w:val="center"/>
        <w:rPr/>
      </w:pPr>
      <w:r>
        <w:rPr>
          <w:kern w:val="0"/>
        </w:rPr>
        <w:drawing>
          <wp:inline distT="0" distB="0" distL="0" distR="0">
            <wp:extent cx="5457825" cy="2438400"/>
            <wp:effectExtent l="0" t="0" r="13335" b="0"/>
            <wp:docPr id="23" name="图片 38" descr="说明: F:\胡高志\其他\国强和新扬子\新扬子照片\新扬子项目施工照片\20141024IMG_20141024_143624.jpg"/>
            <wp:cNvGraphicFramePr>
              <a:graphicFrameLocks noChangeAspect="true"/>
            </wp:cNvGraphicFramePr>
            <a:graphic>
              <a:graphicData uri="http://schemas.openxmlformats.org/drawingml/2006/picture">
                <pic:pic>
                  <pic:nvPicPr>
                    <pic:cNvPr id="24" name="图片 38" descr="说明: F:\胡高志\其他\国强和新扬子\新扬子照片\新扬子项目施工照片\20141024IMG_20141024_143624.jpg"/>
                    <pic:cNvPicPr>
                      <a:picLocks noChangeAspect="true" noChangeArrowheads="true"/>
                    </pic:cNvPicPr>
                  </pic:nvPicPr>
                  <pic:blipFill>
                    <a:blip r:embed="rId14" cstate="print"/>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pPr>
        <w:autoSpaceDE w:val="false"/>
        <w:autoSpaceDN w:val="false"/>
        <w:adjustRightInd w:val="false"/>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26" name="图片 35" descr="3f955fae02b5dd92c794a23cec89e73"/>
            <wp:cNvGraphicFramePr>
              <a:graphicFrameLocks noChangeAspect="true"/>
            </wp:cNvGraphicFramePr>
            <a:graphic>
              <a:graphicData uri="http://schemas.openxmlformats.org/drawingml/2006/picture">
                <pic:pic>
                  <pic:nvPicPr>
                    <pic:cNvPr id="27" name="图片 35" descr="3f955fae02b5dd92c794a23cec89e73"/>
                    <pic:cNvPicPr>
                      <a:picLocks noChangeAspect="true" noChangeArrowheads="true"/>
                    </pic:cNvPicPr>
                  </pic:nvPicPr>
                  <pic:blipFill>
                    <a:blip r:embed="rId15"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bookmarkStart w:id="51" w:name="_Toc19320"/>
    <w:bookmarkStart w:id="52" w:name="_Toc10826"/>
    <w:bookmarkStart w:id="53" w:name="_Toc21934"/>
    <w:bookmarkStart w:id="54" w:name="_Toc3060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 储能系统配置方案</w:t>
      </w:r>
      <w:bookmarkEnd w:id="51"/>
      <w:bookmarkEnd w:id="52"/>
      <w:bookmarkEnd w:id="53"/>
      <w:bookmarkEnd w:id="5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规划在园区内设置变电站一座，项目总体容量为20MW/40MWh，由8个2.50MW/5.00MWh独立集装箱式储能单元构成。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29" name="图片 3" descr="C:\Users\Administrator\Documents\WeChat Files\wxid_6xj7tm83ftvi21\FileStorage\Temp\1684392748248.png"/>
            <wp:cNvGraphicFramePr>
              <a:graphicFrameLocks noChangeAspect="true"/>
            </wp:cNvGraphicFramePr>
            <a:graphic>
              <a:graphicData uri="http://schemas.openxmlformats.org/drawingml/2006/picture">
                <pic:pic>
                  <pic:nvPicPr>
                    <pic:cNvPr id="30" name="图片 3" descr="C:\Users\Administrator\Documents\WeChat Files\wxid_6xj7tm83ftvi21\FileStorage\Temp\1684392748248.png"/>
                    <pic:cNvPicPr>
                      <a:picLocks noChangeAspect="true" noChangeArrowheads="true"/>
                    </pic:cNvPicPr>
                  </pic:nvPicPr>
                  <pic:blipFill>
                    <a:blip r:embed="rId16"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集装箱采用内维护方式，分为电池和PCS两个舱室放置，整个储能系统容量为5</w:t>
      </w:r>
      <w:r>
        <w:rPr>
          <w:rFonts w:ascii="宋体" w:hAnsi="宋体" w:eastAsia="宋体" w:cs="宋体"/>
          <w:i w:val="false"/>
          <w:strike w:val="false"/>
          <w:spacing w:val="0"/>
          <w:sz w:val="28"/>
          <w:u w:val="none"/>
        </w:rPr>
        <w:t>000KWH</w:t>
      </w:r>
      <w:r>
        <w:rPr>
          <w:rFonts w:hint="eastAsia" w:ascii="宋体" w:hAnsi="宋体" w:eastAsia="宋体" w:cs="宋体"/>
          <w:snapToGrid/>
          <w:color w:val="auto"/>
          <w:spacing w:val="0"/>
          <w:w w:val="100"/>
          <w:kern w:val="2"/>
          <w:position w:val="0"/>
          <w:sz w:val="28"/>
          <w:szCs w:val="28"/>
          <w:lang w:val="en-US" w:eastAsia="zh-CN" w:bidi="zh-CN"/>
        </w:rPr>
        <w:t>，共有10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pPr>
        <w:ind w:firstLine="550"/>
        <w:jc w:val="center"/>
        <w:rPr>
          <w:spacing w:val="-3"/>
        </w:rPr>
      </w:pPr>
      <w:r>
        <w:rPr>
          <w:spacing w:val="-3"/>
        </w:rPr>
        <w:drawing>
          <wp:inline distT="0" distB="0" distL="0" distR="0">
            <wp:extent cx="4086225" cy="5465445"/>
            <wp:effectExtent l="0" t="0" r="13335" b="5715"/>
            <wp:docPr id="32" name="图片 5" descr="C:\Users\Administrator\Documents\WeChat Files\wxid_6xj7tm83ftvi21\FileStorage\Temp\1684393210985.png"/>
            <wp:cNvGraphicFramePr>
              <a:graphicFrameLocks noChangeAspect="true"/>
            </wp:cNvGraphicFramePr>
            <a:graphic>
              <a:graphicData uri="http://schemas.openxmlformats.org/drawingml/2006/picture">
                <pic:pic>
                  <pic:nvPicPr>
                    <pic:cNvPr id="33" name="图片 5" descr="C:\Users\Administrator\Documents\WeChat Files\wxid_6xj7tm83ftvi21\FileStorage\Temp\1684393210985.png"/>
                    <pic:cNvPicPr>
                      <a:picLocks noChangeAspect="true" noChangeArrowheads="true"/>
                    </pic:cNvPicPr>
                  </pic:nvPicPr>
                  <pic:blipFill>
                    <a:blip r:embed="rId17"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pPr>
        <w:ind w:firstLine="0" w:firstLineChars="0"/>
        <w:jc w:val="center"/>
        <w:rPr/>
      </w:pPr>
      <w:r>
        <w:rPr/>
        <w:drawing>
          <wp:inline distT="0" distB="0" distL="0" distR="0">
            <wp:extent cx="4413250" cy="2846705"/>
            <wp:effectExtent l="0" t="0" r="6350" b="3175"/>
            <wp:docPr id="35" name="图片 4" descr="C:\Users\Administrator\Documents\WeChat Files\wxid_6xj7tm83ftvi21\FileStorage\Temp\1684393137472.png"/>
            <wp:cNvGraphicFramePr>
              <a:graphicFrameLocks noChangeAspect="true"/>
            </wp:cNvGraphicFramePr>
            <a:graphic>
              <a:graphicData uri="http://schemas.openxmlformats.org/drawingml/2006/picture">
                <pic:pic>
                  <pic:nvPicPr>
                    <pic:cNvPr id="36" name="图片 4" descr="C:\Users\Administrator\Documents\WeChat Files\wxid_6xj7tm83ftvi21\FileStorage\Temp\1684393137472.png"/>
                    <pic:cNvPicPr>
                      <a:picLocks noChangeAspect="true" noChangeArrowheads="true"/>
                    </pic:cNvPicPr>
                  </pic:nvPicPr>
                  <pic:blipFill>
                    <a:blip r:embed="rId18" cstate="print"/>
                    <a:srcRect/>
                    <a:stretch>
                      <a:fillRect/>
                    </a:stretch>
                  </pic:blipFill>
                  <pic:spPr>
                    <a:xfrm>
                      <a:off x="0" y="0"/>
                      <a:ext cx="4436086" cy="2862026"/>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间的运行协议；尽可能使能源消耗与系统损耗最小；提供系统故障情况下孤岛运行与重合闸的逻辑与控制方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pPr>
        <w:ind w:left="0" w:leftChars="0" w:firstLine="0" w:firstLineChars="0"/>
        <w:jc w:val="center"/>
        <w:rPr/>
      </w:pPr>
      <w:r>
        <w:rPr/>
        <w:drawing>
          <wp:inline distT="0" distB="0" distL="0" distR="0">
            <wp:extent cx="4819650" cy="2595880"/>
            <wp:effectExtent l="0" t="0" r="11430" b="10160"/>
            <wp:docPr id="38" name="图片 6" descr="C:\Users\Administrator\Documents\WeChat Files\wxid_6xj7tm83ftvi21\FileStorage\Temp\1684393292552(1).png"/>
            <wp:cNvGraphicFramePr>
              <a:graphicFrameLocks noChangeAspect="true"/>
            </wp:cNvGraphicFramePr>
            <a:graphic>
              <a:graphicData uri="http://schemas.openxmlformats.org/drawingml/2006/picture">
                <pic:pic>
                  <pic:nvPicPr>
                    <pic:cNvPr id="39" name="图片 6" descr="C:\Users\Administrator\Documents\WeChat Files\wxid_6xj7tm83ftvi21\FileStorage\Temp\1684393292552(1).png"/>
                    <pic:cNvPicPr>
                      <a:picLocks noChangeAspect="true" noChangeArrowheads="true"/>
                    </pic:cNvPicPr>
                  </pic:nvPicPr>
                  <pic:blipFill>
                    <a:blip r:embed="rId19" cstate="print"/>
                    <a:srcRect r="6523"/>
                    <a:stretch>
                      <a:fillRect/>
                    </a:stretch>
                  </pic:blipFill>
                  <pic:spPr>
                    <a:xfrm>
                      <a:off x="0" y="0"/>
                      <a:ext cx="4839663" cy="2606898"/>
                    </a:xfrm>
                    <a:prstGeom prst="rect">
                      <a:avLst/>
                    </a:prstGeom>
                    <a:noFill/>
                    <a:ln w="9525">
                      <a:noFill/>
                      <a:miter lim="800000"/>
                      <a:headEnd/>
                      <a:tailEnd/>
                    </a:ln>
                  </pic:spPr>
                </pic:pic>
              </a:graphicData>
            </a:graphic>
          </wp:inline>
        </w:drawing>
      </w:r>
    </w:p>
    <w:bookmarkStart w:id="55" w:name="_Toc20518"/>
    <w:bookmarkStart w:id="56" w:name="_Toc1774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4.3.6 光伏储能系统一次单线图</w:t>
      </w:r>
      <w:bookmarkEnd w:id="55"/>
      <w:bookmarkEnd w:id="56"/>
    </w:p>
    <w:p>
      <w:pPr>
        <w:ind w:firstLine="0" w:firstLineChars="0"/>
        <w:jc w:val="center"/>
        <w:rPr/>
      </w:pPr>
      <w:r>
        <w:rPr/>
        <w:drawing>
          <wp:inline distT="0" distB="0" distL="0" distR="0">
            <wp:extent cx="5392420" cy="4244340"/>
            <wp:effectExtent l="0" t="0" r="2540" b="7620"/>
            <wp:docPr id="41" name="图片 5"/>
            <wp:cNvGraphicFramePr>
              <a:graphicFrameLocks noChangeAspect="true"/>
            </wp:cNvGraphicFramePr>
            <a:graphic>
              <a:graphicData uri="http://schemas.openxmlformats.org/drawingml/2006/picture">
                <pic:pic>
                  <pic:nvPicPr>
                    <pic:cNvPr id="42" name="图片 5"/>
                    <pic:cNvPicPr>
                      <a:picLocks noChangeAspect="true" noChangeArrowheads="true"/>
                    </pic:cNvPicPr>
                  </pic:nvPicPr>
                  <pic:blipFill>
                    <a:blip r:embed="rId20" cstate="print"/>
                    <a:srcRect l="7313" t="17314" r="2451" b="4699"/>
                    <a:stretch>
                      <a:fillRect/>
                    </a:stretch>
                  </pic:blipFill>
                  <pic:spPr>
                    <a:xfrm>
                      <a:off x="0" y="0"/>
                      <a:ext cx="5392420" cy="4244340"/>
                    </a:xfrm>
                    <a:prstGeom prst="rect">
                      <a:avLst/>
                    </a:prstGeom>
                    <a:noFill/>
                    <a:ln>
                      <a:noFill/>
                    </a:ln>
                  </pic:spPr>
                </pic:pic>
              </a:graphicData>
            </a:graphic>
          </wp:inline>
        </w:drawing>
      </w:r>
    </w:p>
    <w:bookmarkStart w:id="57" w:name="_Toc11139"/>
    <w:bookmarkStart w:id="58" w:name="_Toc2538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4.3.7 电缆、导线的选型及敷设</w:t>
      </w:r>
      <w:bookmarkEnd w:id="57"/>
      <w:bookmarkEnd w:id="5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bookmarkStart w:id="59" w:name="_Toc17277"/>
    <w:bookmarkStart w:id="60" w:name="_Toc1625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 建设管理方案</w:t>
      </w:r>
      <w:bookmarkEnd w:id="59"/>
      <w:bookmarkEnd w:id="6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项目建设过程中，同级审计部门会同纪检检察部门应对建设项目随时进行审计和监督，本项目也应该接受计划、审计等部门和社会舆论的监督，建成后按照有关规定进行严格的竣工验收。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公共使用功能的设备、管道应设置在公共部位，以便日常维护和更换。建立耗材管理制度，主要包括建立建筑、设备、系统的维护制度，减少因维修带来的材料消耗，使用各类绿色建筑材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在项目管理阶段制定一个垃圾管理制度，对生活垃圾进行分类收集，以便于相关垃圾处理单位改造利用。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为加快建设进度，缩短建设工期，各阶段工作应尽量提前进行，允许有一定程度交叉。依据项目确定的规划设计方案，项目的建设工期拟定为2年。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false"/>
          <w:iCs w:val="false"/>
          <w:snapToGrid w:val="false"/>
          <w:color w:val="000000"/>
          <w:kern w:val="0"/>
          <w:sz w:val="21"/>
          <w:szCs w:val="21"/>
          <w:u w:val="none"/>
          <w:lang w:val="en-US" w:eastAsia="zh-CN" w:bidi="ar"/>
        </w:rPr>
        <w:drawing>
          <wp:inline distT="0" distB="0" distL="0" distR="0">
            <wp:extent cx="5274310" cy="2315210"/>
            <wp:effectExtent l="0" t="0" r="0" b="0"/>
            <wp:docPr id="44" name="picture" descr="descript"/>
            <wp:cNvGraphicFramePr/>
            <a:graphic>
              <a:graphicData uri="http://schemas.openxmlformats.org/drawingml/2006/picture">
                <pic:pic>
                  <pic:nvPicPr>
                    <pic:cNvPr id="45" name="picture" descr="descript"/>
                    <pic:cNvPicPr/>
                  </pic:nvPicPr>
                  <pic:blipFill>
                    <a:blip r:embed="rId21"/>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（5）投标人不得相互串通投标报价，不得排挤其它投标人的公平竞争，不得损害招标人或其它投标人的合法权益。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（6）投标人不得以低于成本的报价投标，也不得以他人名义投标或者以其它方式弄虚作假、骗取中标。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本项目所涉及到的所有建设项目均按规定要求实施招标，委托有资质的招标单位组织实施，采用公开招标方式，实行合理低价中标的原则，杜绝一切漏洞，保证项目顺利进行，达到项目的最初预期和效益。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00000a"/>
        <w:tblW w:w="0" w:type="auto"/>
        <w:tblInd w:w="-79" w:type="dxa"/>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trPr>
          <w:trHeight w:val="575" w:hRule="atLeast"/>
        </w:trPr>
        <w:tc>
          <w:tcPr>
            <w:tcW w:w="1315"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trPr>
          <w:trHeight w:val="610" w:hRule="atLeast"/>
        </w:trPr>
        <w:tc>
          <w:tcPr>
            <w:tcW w:w="1315" w:type="dxa"/>
            <w:vMerge w:val="continue"/>
            <w:vAlign w:val="center"/>
          </w:tcPr>
          <w:p>
            <w:pPr>
              <w:jc w:val="center"/>
              <w:rPr>
                <w:rFonts w:hint="eastAsia" w:ascii="宋体" w:hAnsi="宋体" w:eastAsia="宋体" w:cs="宋体"/>
                <w:sz w:val="21"/>
                <w:szCs w:val="21"/>
              </w:rPr>
            </w:pPr>
          </w:p>
        </w:tc>
        <w:tc>
          <w:tcPr>
            <w:tcW w:w="90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vAlign w:val="center"/>
          </w:tcPr>
          <w:p>
            <w:pPr>
              <w:jc w:val="center"/>
              <w:rPr>
                <w:rFonts w:hint="eastAsia" w:ascii="宋体" w:hAnsi="宋体" w:eastAsia="宋体" w:cs="宋体"/>
                <w:sz w:val="21"/>
                <w:szCs w:val="21"/>
              </w:rPr>
            </w:pPr>
          </w:p>
        </w:tc>
        <w:tc>
          <w:tcPr>
            <w:tcW w:w="886" w:type="dxa"/>
            <w:vMerge w:val="continue"/>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重要购置及</w:t>
            </w:r>
          </w:p>
          <w:p>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vAlign w:val="center"/>
          </w:tcPr>
          <w:p>
            <w:pPr>
              <w:jc w:val="center"/>
              <w:rPr>
                <w:rFonts w:hint="eastAsia" w:ascii="宋体" w:hAnsi="宋体" w:eastAsia="宋体" w:cs="宋体"/>
                <w:sz w:val="21"/>
                <w:szCs w:val="21"/>
              </w:rPr>
            </w:pP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p>
        </w:tc>
        <w:tc>
          <w:tcPr>
            <w:tcW w:w="889" w:type="dxa"/>
            <w:vAlign w:val="center"/>
          </w:tcPr>
          <w:p>
            <w:pPr>
              <w:jc w:val="center"/>
              <w:rPr>
                <w:rFonts w:hint="eastAsia" w:ascii="宋体" w:hAnsi="宋体" w:eastAsia="宋体" w:cs="宋体"/>
                <w:sz w:val="21"/>
                <w:szCs w:val="21"/>
              </w:rPr>
            </w:pP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vAlign w:val="center"/>
          </w:tcPr>
          <w:p>
            <w:pPr>
              <w:jc w:val="center"/>
              <w:rPr>
                <w:rFonts w:hint="eastAsia" w:ascii="宋体" w:hAnsi="宋体" w:eastAsia="宋体" w:cs="宋体"/>
                <w:sz w:val="21"/>
                <w:szCs w:val="21"/>
              </w:rPr>
            </w:pPr>
          </w:p>
        </w:tc>
      </w:tr>
    </w:tbl>
    <w:bookmarkStart w:id="61" w:name="_Toc16701"/>
    <w:bookmarkStart w:id="62" w:name="_Toc9558"/>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p>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r>
        <w:rPr>
          <w:rFonts w:hint="eastAsia" w:ascii="宋体" w:hAnsi="宋体" w:eastAsia="宋体" w:cs="宋体"/>
          <w:b/>
          <w:bCs/>
          <w:spacing w:val="0"/>
          <w:w w:val="100"/>
          <w:position w:val="0"/>
          <w:sz w:val="36"/>
          <w:szCs w:val="36"/>
          <w:lang w:val="en-US" w:eastAsia="zh-CN"/>
        </w:rPr>
        <w:br w:type="page"/>
      </w:r>
    </w:p>
    <w:bookmarkStart w:id="63" w:name="_Toc20189"/>
    <w:bookmarkStart w:id="64" w:name="_Toc3065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第五章 项目运营方案</w:t>
      </w:r>
      <w:bookmarkEnd w:id="61"/>
      <w:bookmarkEnd w:id="62"/>
      <w:bookmarkEnd w:id="63"/>
      <w:bookmarkEnd w:id="64"/>
    </w:p>
    <w:bookmarkStart w:id="65" w:name="_Toc7328"/>
    <w:bookmarkStart w:id="66" w:name="_Toc3070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5.1 运营方案</w:t>
      </w:r>
      <w:bookmarkEnd w:id="65"/>
      <w:bookmarkEnd w:id="6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 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bookmarkStart w:id="67" w:name="_Toc25838"/>
    <w:bookmarkStart w:id="68" w:name="_Toc2730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5.2 安全保障方案</w:t>
      </w:r>
      <w:bookmarkEnd w:id="67"/>
      <w:bookmarkEnd w:id="68"/>
    </w:p>
    <w:bookmarkStart w:id="69" w:name="_Toc246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5.2.1 运营中危险因素及危险程度</w:t>
      </w:r>
      <w:bookmarkEnd w:id="6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bookmarkStart w:id="70" w:name="_Toc13187"/>
    <w:bookmarkStart w:id="71" w:name="_Toc1184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5.3 运营管理方案</w:t>
      </w:r>
      <w:bookmarkEnd w:id="70"/>
      <w:bookmarkEnd w:id="7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间，运营公司需新增劳动定员6人。主要负责项目项目运营及对入驻企业的监管。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任；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在筹建期间要安排好企业员工的培训，以便受训人员可及时投入到设备安装调试和试生产中。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地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bookmarkStart w:id="72" w:name="_Toc2055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7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提高员工的安全意识和安全技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4、公众参与与宣传教育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提高公众对新能源电力及源网荷储模式的认知度，鼓励公众参与项目的监督和管理，同时通过宣传教育提高公众的环保意识和安全意识。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加强员工的安全培训和安全意识教育，确保操作人员能够正确的运用设备，并预防和处理安全事故。员工作业时提供必要的个人防护装备，如安全帽、防护眼镜、防滑鞋、防护服等。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在应急预案制定的基础上建立物资应急储备体系，合理分配应急物资储备、物资采购和供应商选择及沟通等。预防与应急响应物资有关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定期开展应急演练，包括突发事件处理、防火演练、应急疏散演练等，确保预案的可行性和使用性。演练中的细节和业务流程应与预案的实操情况配合，以最大程度地发挥出应急预案的价值和效果。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建立应急事件记录和督查制度，对应急情况进行详细记录，及时反馈和沟通。同时实时向管理层汇报应急事件情况，强化督查和检查效果，以不断完善具体的应急处置措施和应对经验。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pPr>
        <w:rPr>
          <w:rFonts w:hint="eastAsia" w:ascii="宋体" w:hAnsi="宋体" w:eastAsia="宋体" w:cs="宋体"/>
          <w:b/>
          <w:i w:val="false"/>
          <w:strike w:val="false"/>
          <w:color w:val="000000"/>
          <w:spacing w:val="0"/>
          <w:sz w:val="36"/>
          <w:u w:val="none"/>
          <w:vertAlign w:val="baseline"/>
          <w:lang w:val="en-US" w:eastAsia="zh-CN"/>
        </w:rPr>
      </w:pPr>
      <w:r>
        <w:rPr>
          <w:rFonts w:hint="eastAsia" w:ascii="宋体" w:hAnsi="宋体" w:eastAsia="宋体" w:cs="宋体"/>
          <w:b/>
          <w:i w:val="false"/>
          <w:strike w:val="false"/>
          <w:color w:val="000000"/>
          <w:spacing w:val="0"/>
          <w:sz w:val="36"/>
          <w:u w:val="none"/>
          <w:vertAlign w:val="baseline"/>
          <w:lang w:val="en-US" w:eastAsia="zh-CN"/>
        </w:rPr>
        <w:br w:type="page"/>
      </w:r>
    </w:p>
    <w:bookmarkStart w:id="73" w:name="_Toc11443"/>
    <w:bookmarkStart w:id="74" w:name="_Toc25672"/>
    <w:bookmarkStart w:id="75" w:name="_Toc800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第六章 项目投融资与财务方案</w:t>
      </w:r>
      <w:bookmarkEnd w:id="73"/>
      <w:bookmarkEnd w:id="74"/>
      <w:bookmarkEnd w:id="75"/>
    </w:p>
    <w:bookmarkStart w:id="76" w:name="_Toc16389"/>
    <w:bookmarkStart w:id="77" w:name="_Toc11271"/>
    <w:bookmarkStart w:id="78" w:name="_Toc233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6.1 项目投资估算及说明</w:t>
      </w:r>
      <w:bookmarkEnd w:id="76"/>
      <w:bookmarkEnd w:id="77"/>
      <w:bookmarkEnd w:id="7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园区内工业厂房屋顶部署5950KW的分布式光伏发电系统，并配套建设用户侧储能设施，总规模达到20MW/40MWh。此外，项目还规划安装5个光伏充电桩，并同步实施园区绿化及其他相关配套工程，以及光伏与储能系统的配套建设。通过源网荷储一体化方案，本项目将直接将所发绿色电力供给河南大成包装材料有限公司。该企业采用此清洁能源后，不仅能有效降低自身污染排放，还将有力推动可再生能源的应用与发展。这一综合性项目对于提升资源利用效率、减轻环境负担、以及助力绿色可持续发展目标的实现具有重要意义</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项目投资主要是固定资产投资，其中固定资产投资由工程费用、工程建设其他费用、预备费、建设期利息四部分组成，详细情况如下。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光伏组件A级、逆变器、交流汇流箱、光伏支架、光伏直流电缆、MC4连接器、交流电缆、干式变压器（箱变)、光伏接入柜、并网柜、站用变电柜、10kV动态无功补偿装置、高压电缆、组件、电气安装、辅材等其他辅助设备，本项目建设光伏电站5.95MW。预计费用1829.91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储能设备；电池系统5000KWH、储能变流器、集装箱柜体、温控系统、消防系统、储能EMS、储能箱基础及连接电缆及其他附件设备。预计费用5614.00万元。</w:t>
      </w:r>
    </w:p>
    <w:p>
      <w:pPr>
        <w:snapToGrid/>
        <w:spacing w:before="157" w:after="157" w:line="240" w:lineRule="auto"/>
        <w:ind w:firstLine="550"/>
        <w:rPr/>
      </w:pPr>
      <w:r>
        <w:rPr>
          <w:rFonts w:ascii="宋体" w:hAnsi="宋体" w:eastAsia="宋体" w:cs="宋体"/>
          <w:i w:val="false"/>
          <w:strike w:val="false"/>
          <w:color w:val="000000"/>
          <w:sz w:val="28"/>
          <w:u w:val="none"/>
        </w:rPr>
        <w:t>（2）园区配套工程</w:t>
      </w:r>
    </w:p>
    <w:p>
      <w:pPr>
        <w:pBdr>
          <w:bottom w:val="none" w:color="auto" w:sz="0" w:space="0"/>
        </w:pBdr>
        <w:snapToGrid/>
        <w:spacing w:before="157" w:after="157" w:line="240" w:lineRule="auto"/>
        <w:ind w:firstLine="550"/>
        <w:rPr/>
      </w:pPr>
      <w:r>
        <w:rPr>
          <w:rFonts w:ascii="宋体" w:hAnsi="宋体" w:eastAsia="宋体" w:cs="宋体"/>
          <w:i w:val="false"/>
          <w:strike w:val="false"/>
          <w:color w:val="000000"/>
          <w:sz w:val="28"/>
          <w:u w:val="none"/>
        </w:rPr>
        <w:t>该项目室外工程主要包括：</w:t>
      </w:r>
      <w:r>
        <w:rPr>
          <w:rFonts w:ascii="宋体" w:hAnsi="宋体" w:eastAsia="宋体" w:cs="宋体"/>
          <w:i w:val="false"/>
          <w:strike w:val="false"/>
          <w:spacing w:val="0"/>
          <w:sz w:val="28"/>
          <w:u w:val="none"/>
        </w:rPr>
        <w:t>绿化等相关配套工程</w:t>
      </w:r>
      <w:r>
        <w:rPr>
          <w:rFonts w:ascii="宋体" w:hAnsi="宋体" w:eastAsia="宋体" w:cs="宋体"/>
          <w:i w:val="false"/>
          <w:strike w:val="false"/>
          <w:color w:val="000000"/>
          <w:sz w:val="28"/>
          <w:u w:val="none"/>
        </w:rPr>
        <w:t>、10kv储能变电站、中心配电室变压器2000KVA、光伏充电桩、60kv充电桩等，预计费用358.36万元。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本项目工程其他费用包括建设单位管理费、建设工程监理费、建设项目前期咨询费、工程勘察费、工程设计费、环境影响咨询服务费、场地准备及临时设施费、工程保险费、工程保险费、招标代理费、工程造价咨询费等。具体情况如下：</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（1）建设单位管理费：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根据财建(2016)504号文结合实际情况计取按62.42万元计入。</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（2）建设工程监理费：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根据发改价格（2015）299号、豫建监协（2015）19号文并结合实际情况按46.81万元计取。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（3）建设项目前期工作咨询费：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根据参考豫发改收费[2011]627号并结合实际情况按39.01万元计取。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（4）屋顶荷载检测费：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根据国家计委、根据发改价格[2015]299号文并结合实际情况按26.17万元计取。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（5）工程设计费：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根据国家计委、建设部计价格（2002）10号文及发改价格[2015]299号文并结合实际情况按</w:t>
      </w:r>
      <w:r>
        <w:rPr>
          <w:rFonts w:hint="eastAsia" w:ascii="宋体" w:hAnsi="宋体" w:eastAsia="宋体" w:cs="宋体"/>
          <w:i w:val="false"/>
          <w:strike w:val="false"/>
          <w:color w:val="000000"/>
          <w:sz w:val="28"/>
          <w:u w:val="none"/>
          <w:lang w:val="en-US" w:eastAsia="zh-CN"/>
        </w:rPr>
        <w:t>78.02</w:t>
      </w:r>
      <w:r>
        <w:rPr>
          <w:rFonts w:ascii="宋体" w:hAnsi="宋体" w:eastAsia="宋体" w:cs="宋体"/>
          <w:i w:val="false"/>
          <w:strike w:val="false"/>
          <w:color w:val="000000"/>
          <w:sz w:val="28"/>
          <w:u w:val="none"/>
        </w:rPr>
        <w:t>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（6）环境影响咨询服务费：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根据发改价格[2015]299号及发改收费[2011]627号文并结合实际情况按</w:t>
      </w:r>
      <w:r>
        <w:rPr>
          <w:rFonts w:hint="eastAsia" w:ascii="宋体" w:hAnsi="宋体" w:eastAsia="宋体" w:cs="宋体"/>
          <w:i w:val="false"/>
          <w:strike w:val="false"/>
          <w:color w:val="000000"/>
          <w:sz w:val="28"/>
          <w:u w:val="none"/>
          <w:lang w:val="en-US" w:eastAsia="zh-CN"/>
        </w:rPr>
        <w:t>15.60</w:t>
      </w:r>
      <w:r>
        <w:rPr>
          <w:rFonts w:ascii="宋体" w:hAnsi="宋体" w:eastAsia="宋体" w:cs="宋体"/>
          <w:i w:val="false"/>
          <w:strike w:val="false"/>
          <w:color w:val="000000"/>
          <w:sz w:val="28"/>
          <w:u w:val="none"/>
        </w:rPr>
        <w:t>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（7）场地准备费及临时设施费：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根据《市政工程投资估算编制办法》（建标〔2007〕164号）文并结合实际情况按</w:t>
      </w:r>
      <w:r>
        <w:rPr>
          <w:rFonts w:hint="eastAsia" w:ascii="宋体" w:hAnsi="宋体" w:eastAsia="宋体" w:cs="宋体"/>
          <w:i w:val="false"/>
          <w:strike w:val="false"/>
          <w:color w:val="000000"/>
          <w:sz w:val="28"/>
          <w:u w:val="none"/>
          <w:lang w:val="en-US" w:eastAsia="zh-CN"/>
        </w:rPr>
        <w:t>54.62</w:t>
      </w:r>
      <w:r>
        <w:rPr>
          <w:rFonts w:ascii="宋体" w:hAnsi="宋体" w:eastAsia="宋体" w:cs="宋体"/>
          <w:i w:val="false"/>
          <w:strike w:val="false"/>
          <w:color w:val="000000"/>
          <w:sz w:val="28"/>
          <w:u w:val="none"/>
        </w:rPr>
        <w:t>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（8）工程保险费：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根据《保险法》《合同法》法律法规规定并结合实际情况按</w:t>
      </w:r>
      <w:r>
        <w:rPr>
          <w:rFonts w:hint="eastAsia" w:ascii="宋体" w:hAnsi="宋体" w:eastAsia="宋体" w:cs="宋体"/>
          <w:i w:val="false"/>
          <w:strike w:val="false"/>
          <w:color w:val="000000"/>
          <w:sz w:val="28"/>
          <w:u w:val="none"/>
          <w:lang w:val="en-US" w:eastAsia="zh-CN"/>
        </w:rPr>
        <w:t>39.01</w:t>
      </w:r>
      <w:r>
        <w:rPr>
          <w:rFonts w:ascii="宋体" w:hAnsi="宋体" w:eastAsia="宋体" w:cs="宋体"/>
          <w:i w:val="false"/>
          <w:strike w:val="false"/>
          <w:color w:val="000000"/>
          <w:sz w:val="28"/>
          <w:u w:val="none"/>
        </w:rPr>
        <w:t>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（9）招标代理服务费：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根据参考豫发改收费[2011]627号文并结合市场情况按</w:t>
      </w:r>
      <w:r>
        <w:rPr>
          <w:rFonts w:hint="eastAsia" w:ascii="宋体" w:hAnsi="宋体" w:eastAsia="宋体" w:cs="宋体"/>
          <w:i w:val="false"/>
          <w:strike w:val="false"/>
          <w:color w:val="000000"/>
          <w:sz w:val="28"/>
          <w:u w:val="none"/>
          <w:lang w:val="en-US" w:eastAsia="zh-CN"/>
        </w:rPr>
        <w:t>15.60</w:t>
      </w:r>
      <w:r>
        <w:rPr>
          <w:rFonts w:ascii="宋体" w:hAnsi="宋体" w:eastAsia="宋体" w:cs="宋体"/>
          <w:i w:val="false"/>
          <w:strike w:val="false"/>
          <w:color w:val="000000"/>
          <w:sz w:val="28"/>
          <w:u w:val="none"/>
        </w:rPr>
        <w:t>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（10）工程造价咨询费：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根据中价协〔2013〕35号文并结合实际情况按</w:t>
      </w:r>
      <w:r>
        <w:rPr>
          <w:rFonts w:hint="eastAsia" w:ascii="宋体" w:hAnsi="宋体" w:eastAsia="宋体" w:cs="宋体"/>
          <w:i w:val="false"/>
          <w:strike w:val="false"/>
          <w:color w:val="000000"/>
          <w:sz w:val="28"/>
          <w:u w:val="none"/>
          <w:lang w:val="en-US" w:eastAsia="zh-CN"/>
        </w:rPr>
        <w:t>23.41</w:t>
      </w:r>
      <w:r>
        <w:rPr>
          <w:rFonts w:ascii="宋体" w:hAnsi="宋体" w:eastAsia="宋体" w:cs="宋体"/>
          <w:i w:val="false"/>
          <w:strike w:val="false"/>
          <w:color w:val="000000"/>
          <w:sz w:val="28"/>
          <w:u w:val="none"/>
        </w:rPr>
        <w:t>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基本预备费，以工程建设费与工程建设其他费用之和为基数，其中，基本预备费按照工程费用和工程其他费用之和5%计入，按410.15万元计取，涨价预备费按照0万元计取。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本项目建设期为0.5年（含建设期准备工作），计划2025年5月开工，预计2025年11月竣工，利率5.04%，建设期内按金融机构计息计划投入。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1、投资估算</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8700.05万元，其中项目工程费用7802.28万元，占总投资的89.68%；工程建设其它费用400.68万元，占总投资的4.61%；预备费410.15万元，占总投资的4.71%；建设期利息86.94万元，占总投资的1.00%。项目投资构成如下表所示:</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表6-</w:t>
      </w: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项目投资构成一览表</w:t>
      </w:r>
    </w:p>
    <w:tbl>
      <w:tblPr>
        <w:tblStyle w:val="00000a"/>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2610"/>
        <w:gridCol w:w="1461"/>
        <w:gridCol w:w="820"/>
        <w:gridCol w:w="1374"/>
        <w:gridCol w:w="1443"/>
      </w:tblGrid>
      <w:tr>
        <w:trPr>
          <w:trHeight w:val="54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序号</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工程或费用名称</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合计</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单位</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数量</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综合单价（万元）</w:t>
            </w:r>
          </w:p>
        </w:tc>
      </w:tr>
      <w:tr>
        <w:trPr>
          <w:trHeight w:val="240"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一</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工程费用</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7802.28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89.68%</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光伏发电工程</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7443.91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85.56%</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1.1</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光伏组件</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1829.91 </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KW</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5950</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0.308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光伏组件A级</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1003.536</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块</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10908.00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0.092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逆变器</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81</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49.00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2.500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交流汇流箱</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9.32</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9.00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1.036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光伏支架及配件</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157.03 </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km</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87.29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1.799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光伏直流电缆</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47.83</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km</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126.00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0.387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MC4连接器</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1.32</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千套</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2.30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0.600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交流电缆</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147.62</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km</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8.10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18.225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干式变压器（箱变)</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25.26</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20.260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光伏接入柜</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5.13</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5.132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并网柜</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5</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5.000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站用变电柜</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4.71</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4.711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10kV动态无功补偿装置</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39.07</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35.000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高压电缆</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45.68</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m</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810.00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0.057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土建基础</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96.75</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项</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80.250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组件、电气安装、辅材等</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160.65 </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KW</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5950.00 </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0.027 </w:t>
            </w:r>
          </w:p>
        </w:tc>
      </w:tr>
      <w:tr>
        <w:trPr>
          <w:trHeight w:val="384"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1.2</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电池储能</w:t>
            </w:r>
            <w:r>
              <w:rPr>
                <w:rFonts w:hint="eastAsia" w:ascii="宋体" w:hAnsi="宋体" w:eastAsia="宋体" w:cs="宋体"/>
                <w:b/>
                <w:bCs/>
                <w:i w:val="false"/>
                <w:iCs w:val="false"/>
                <w:snapToGrid w:val="false"/>
                <w:color w:val="000000"/>
                <w:kern w:val="0"/>
                <w:sz w:val="21"/>
                <w:szCs w:val="21"/>
                <w:u w:val="none"/>
                <w:lang w:val="en-US" w:eastAsia="zh-CN" w:bidi="ar"/>
              </w:rPr>
              <w:br w:type="textWrapping"/>
            </w:r>
            <w:r>
              <w:rPr>
                <w:rFonts w:hint="eastAsia" w:ascii="宋体" w:hAnsi="宋体" w:eastAsia="宋体" w:cs="宋体"/>
                <w:b/>
                <w:bCs/>
                <w:i w:val="false"/>
                <w:iCs w:val="false"/>
                <w:snapToGrid w:val="false"/>
                <w:color w:val="000000"/>
                <w:kern w:val="0"/>
                <w:sz w:val="21"/>
                <w:szCs w:val="21"/>
                <w:u w:val="none"/>
                <w:lang w:val="en-US" w:eastAsia="zh-CN" w:bidi="ar"/>
              </w:rPr>
              <w:t>集装箱</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5614</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KWH</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40000</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0.140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电池系统 5000KWH</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4220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527.50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储能变流器</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400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50.00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集装箱柜体</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120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15.00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温控系统</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160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20.00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消防系统</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120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15.00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储能EMS</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400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50.00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附件</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64</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8.00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储能箱基础及连接电缆</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130</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25.00 </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2</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园区配套工程</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358.368</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5551.3</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0.227</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绿化等相关配套工程</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41.84 </w:t>
            </w:r>
          </w:p>
        </w:tc>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132</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0.317</w:t>
            </w:r>
          </w:p>
        </w:tc>
      </w:tr>
      <w:tr>
        <w:trPr>
          <w:trHeight w:val="288"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10kv储能变电站</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251.52 </w:t>
            </w: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182</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1.382</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中心配电室变压器2000KVA</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25</w:t>
            </w: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台</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25</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光伏充电桩</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40</w:t>
            </w:r>
          </w:p>
        </w:tc>
        <w:tc>
          <w:tcPr>
            <w:tcW w:w="8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个</w:t>
            </w:r>
          </w:p>
        </w:tc>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5</w:t>
            </w:r>
          </w:p>
        </w:tc>
        <w:tc>
          <w:tcPr>
            <w:tcW w:w="14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二</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工程建设其他费用</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400.68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4.61%</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建设用地费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0.00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2</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建设管理费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62.42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3</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建设工程监理费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46.81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4</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建设项目前期工作咨询费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39.01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5</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屋顶荷载检测费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26.17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6</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工程设计费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78.02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21"/>
                <w:szCs w:val="21"/>
                <w:u w:val="none"/>
              </w:rPr>
            </w:pPr>
          </w:p>
        </w:tc>
      </w:tr>
      <w:tr>
        <w:trPr>
          <w:trHeight w:val="34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7</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环境影响咨询服务费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15.60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40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8</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场地准备费及临时设施费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54.62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379"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9</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工程保险费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39.01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379"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10</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招标代理服务费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15.60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11</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造价咨询费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23.41 </w:t>
            </w:r>
          </w:p>
        </w:tc>
        <w:tc>
          <w:tcPr>
            <w:tcW w:w="820" w:type="dxa"/>
            <w:tcBorders>
              <w:top w:val="single" w:color="000000" w:sz="4" w:space="0"/>
              <w:left w:val="single" w:color="000000" w:sz="4" w:space="0"/>
              <w:bottom w:val="single" w:color="000000" w:sz="4" w:space="0"/>
              <w:right w:val="nil"/>
            </w:tcBorders>
            <w:shd w:val="clear" w:color="auto" w:fill="auto"/>
            <w:vAlign w:val="top"/>
          </w:tcPr>
          <w:p>
            <w:pPr>
              <w:jc w:val="center"/>
              <w:rPr>
                <w:rFonts w:hint="eastAsia" w:ascii="宋体" w:hAnsi="宋体" w:eastAsia="宋体" w:cs="宋体"/>
                <w:b/>
                <w:bCs/>
                <w:i w:val="false"/>
                <w:iCs w:val="false"/>
                <w:color w:val="000000"/>
                <w:sz w:val="21"/>
                <w:szCs w:val="21"/>
                <w:u w:val="none"/>
              </w:rPr>
            </w:pPr>
          </w:p>
        </w:tc>
        <w:tc>
          <w:tcPr>
            <w:tcW w:w="1374" w:type="dxa"/>
            <w:tcBorders>
              <w:top w:val="single" w:color="000000" w:sz="4" w:space="0"/>
              <w:left w:val="nil"/>
              <w:bottom w:val="single" w:color="000000" w:sz="4" w:space="0"/>
              <w:right w:val="nil"/>
            </w:tcBorders>
            <w:shd w:val="clear" w:color="auto" w:fill="auto"/>
            <w:vAlign w:val="top"/>
          </w:tcPr>
          <w:p>
            <w:pPr>
              <w:jc w:val="center"/>
              <w:rPr>
                <w:rFonts w:hint="eastAsia" w:ascii="宋体" w:hAnsi="宋体" w:eastAsia="宋体" w:cs="宋体"/>
                <w:b/>
                <w:bCs/>
                <w:i w:val="false"/>
                <w:iCs w:val="false"/>
                <w:color w:val="000000"/>
                <w:sz w:val="21"/>
                <w:szCs w:val="21"/>
                <w:u w:val="none"/>
              </w:rPr>
            </w:pPr>
          </w:p>
        </w:tc>
        <w:tc>
          <w:tcPr>
            <w:tcW w:w="1443" w:type="dxa"/>
            <w:tcBorders>
              <w:top w:val="single" w:color="000000" w:sz="4" w:space="0"/>
              <w:left w:val="nil"/>
              <w:bottom w:val="single" w:color="000000" w:sz="4" w:space="0"/>
              <w:right w:val="single" w:color="000000" w:sz="4" w:space="0"/>
            </w:tcBorders>
            <w:shd w:val="clear" w:color="auto" w:fill="auto"/>
            <w:vAlign w:val="top"/>
          </w:tcPr>
          <w:p>
            <w:pPr>
              <w:jc w:val="center"/>
              <w:rPr>
                <w:rFonts w:hint="eastAsia" w:ascii="宋体" w:hAnsi="宋体" w:eastAsia="宋体" w:cs="宋体"/>
                <w:b/>
                <w:bCs/>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三</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预备费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410.15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4.71%</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3.1</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基本预备费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 xml:space="preserve">410.15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（一+二）*5%</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3.2</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涨价预备费</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四</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建设投资合计</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8613.11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99.00%</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比例（%）</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snapToGrid w:val="false"/>
                <w:color w:val="000000"/>
                <w:kern w:val="0"/>
                <w:sz w:val="21"/>
                <w:szCs w:val="21"/>
                <w:u w:val="none"/>
                <w:lang w:val="en-US" w:eastAsia="zh-CN" w:bidi="ar"/>
              </w:rPr>
              <w:t>100%</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false"/>
                <w:iCs w:val="false"/>
                <w:color w:val="000000"/>
                <w:sz w:val="21"/>
                <w:szCs w:val="21"/>
                <w:u w:val="none"/>
              </w:rPr>
            </w:pP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五</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建设期利息</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86.94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1.00%</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六</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固定资产投资</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8700.05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100.00%</w:t>
            </w:r>
          </w:p>
        </w:tc>
      </w:tr>
      <w:tr>
        <w:trPr>
          <w:trHeight w:val="282" w:hRule="atLeast"/>
          <w:jc w:val="center"/>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八</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项目总投资</w:t>
            </w:r>
          </w:p>
        </w:tc>
        <w:tc>
          <w:tcPr>
            <w:tcW w:w="14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 xml:space="preserve">8700.05 </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21"/>
                <w:szCs w:val="21"/>
                <w:u w:val="none"/>
              </w:rPr>
            </w:pPr>
            <w:r>
              <w:rPr>
                <w:rFonts w:hint="eastAsia" w:ascii="宋体" w:hAnsi="宋体" w:eastAsia="宋体" w:cs="宋体"/>
                <w:b/>
                <w:bCs/>
                <w:i w:val="false"/>
                <w:iCs w:val="false"/>
                <w:snapToGrid w:val="false"/>
                <w:color w:val="000000"/>
                <w:kern w:val="0"/>
                <w:sz w:val="21"/>
                <w:szCs w:val="21"/>
                <w:u w:val="none"/>
                <w:lang w:val="en-US" w:eastAsia="zh-CN" w:bidi="ar"/>
              </w:rPr>
              <w:t>100.00%</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w:t>
      </w:r>
      <w:r>
        <w:rPr>
          <w:rFonts w:hint="eastAsia" w:ascii="宋体" w:hAnsi="宋体" w:eastAsia="宋体" w:cs="宋体"/>
          <w:i w:val="false"/>
          <w:strike w:val="false"/>
          <w:spacing w:val="0"/>
          <w:sz w:val="28"/>
          <w:u w:val="none"/>
          <w:lang w:val="en-US" w:eastAsia="zh-CN"/>
        </w:rPr>
        <w:t>8700.05</w:t>
      </w:r>
      <w:r>
        <w:rPr>
          <w:rFonts w:ascii="宋体" w:hAnsi="宋体" w:eastAsia="宋体" w:cs="宋体"/>
          <w:i w:val="false"/>
          <w:strike w:val="false"/>
          <w:spacing w:val="0"/>
          <w:sz w:val="28"/>
          <w:u w:val="none"/>
        </w:rPr>
        <w:t xml:space="preserve"> </w:t>
      </w:r>
      <w:r>
        <w:rPr>
          <w:rFonts w:hint="eastAsia" w:ascii="宋体" w:hAnsi="宋体" w:eastAsia="宋体" w:cs="宋体"/>
          <w:snapToGrid/>
          <w:color w:val="auto"/>
          <w:spacing w:val="0"/>
          <w:w w:val="100"/>
          <w:kern w:val="2"/>
          <w:position w:val="0"/>
          <w:sz w:val="28"/>
          <w:szCs w:val="28"/>
          <w:lang w:val="en-US" w:eastAsia="zh-CN" w:bidi="zh-CN"/>
        </w:rPr>
        <w:t>万元，其中固定资产投资</w:t>
      </w:r>
      <w:r>
        <w:rPr>
          <w:rFonts w:hint="eastAsia" w:ascii="宋体" w:hAnsi="宋体" w:eastAsia="宋体" w:cs="宋体"/>
          <w:i w:val="false"/>
          <w:strike w:val="false"/>
          <w:spacing w:val="0"/>
          <w:sz w:val="28"/>
          <w:u w:val="none"/>
          <w:lang w:val="en-US" w:eastAsia="zh-CN"/>
        </w:rPr>
        <w:t>8700.05</w:t>
      </w:r>
      <w:r>
        <w:rPr>
          <w:rFonts w:hint="eastAsia" w:ascii="宋体" w:hAnsi="宋体" w:eastAsia="宋体" w:cs="宋体"/>
          <w:snapToGrid/>
          <w:color w:val="auto"/>
          <w:spacing w:val="0"/>
          <w:w w:val="100"/>
          <w:kern w:val="2"/>
          <w:position w:val="0"/>
          <w:sz w:val="28"/>
          <w:szCs w:val="28"/>
          <w:lang w:val="en-US" w:eastAsia="zh-CN" w:bidi="zh-CN"/>
        </w:rPr>
        <w:t>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在资金筹措方面，项目总投资由资本金和项目融资或其他债务性资金两部分构成，一是资本金1800.05万元，占总投资的20.69%，二是项目融资、企业自筹资金或者其他债务性资金6900万元，占总投资的79.31%。</w:t>
      </w:r>
    </w:p>
    <w:bookmarkStart w:id="79" w:name="_Toc22702"/>
    <w:bookmarkStart w:id="80" w:name="_Toc27847"/>
    <w:bookmarkStart w:id="81" w:name="_Toc1647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6.2 财务盈利能力分析</w:t>
      </w:r>
      <w:bookmarkEnd w:id="79"/>
      <w:bookmarkEnd w:id="80"/>
      <w:bookmarkEnd w:id="8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《国家发展改革委员会、建设部关于建设项目经济评价工作的若干规定》（发改投资[2006]1325号）文件。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false"/>
          <w:strike w:val="false"/>
          <w:spacing w:val="0"/>
          <w:sz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2、根据现行的税收政策规定，增值税按最新税率13%、9%计算，城市建设维护税按7%，教育费附加税按3%，企业所得税率按25%。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本项目建成后收入由光伏收入、储能电站收入及充电桩收入三部分构成。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false"/>
          <w:strike w:val="false"/>
          <w:spacing w:val="0"/>
          <w:sz w:val="28"/>
          <w:u w:val="none"/>
        </w:rPr>
        <w:t>本项目采用“源网荷储模式”，结合企业</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年用电量</w:t>
      </w:r>
      <w:r>
        <w:rPr>
          <w:rFonts w:hint="eastAsia" w:ascii="宋体" w:hAnsi="宋体" w:eastAsia="宋体" w:cs="宋体"/>
          <w:i w:val="false"/>
          <w:strike w:val="false"/>
          <w:spacing w:val="0"/>
          <w:sz w:val="28"/>
          <w:u w:val="none"/>
          <w:lang w:val="en-US" w:eastAsia="zh-CN"/>
        </w:rPr>
        <w:t>4752</w:t>
      </w:r>
      <w:r>
        <w:rPr>
          <w:rFonts w:ascii="宋体" w:hAnsi="宋体" w:eastAsia="宋体" w:cs="宋体"/>
          <w:i w:val="false"/>
          <w:strike w:val="false"/>
          <w:spacing w:val="0"/>
          <w:sz w:val="28"/>
          <w:u w:val="none"/>
        </w:rPr>
        <w:t>万kWh，该企业距本项目光伏电站2公里左右（小于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20公），根据测算，光伏电站每年发电量为717.35万kWh（3.349kWh/kWp/天*5950kWp*360天），考虑到该企业是24小时生产，白天平谷时段用电1425.60</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（2）衰减值：光伏发电首年衰减值为2%，剩余每年衰减值为0.5%。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ascii="宋体" w:hAnsi="宋体" w:eastAsia="宋体" w:cs="宋体"/>
          <w:i w:val="false"/>
          <w:strike w:val="false"/>
          <w:spacing w:val="0"/>
          <w:sz w:val="28"/>
          <w:u w:val="none"/>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w:t>
      </w:r>
      <w:r>
        <w:rPr>
          <w:rFonts w:hint="eastAsia" w:ascii="宋体" w:hAnsi="宋体" w:eastAsia="宋体" w:cs="宋体"/>
          <w:i w:val="false"/>
          <w:strike w:val="false"/>
          <w:spacing w:val="0"/>
          <w:sz w:val="28"/>
          <w:u w:val="none"/>
          <w:lang w:val="en-US" w:eastAsia="zh-CN"/>
        </w:rPr>
        <w:t>5950</w:t>
      </w:r>
      <w:r>
        <w:rPr>
          <w:rFonts w:ascii="宋体" w:hAnsi="宋体" w:eastAsia="宋体" w:cs="宋体"/>
          <w:i w:val="false"/>
          <w:strike w:val="false"/>
          <w:spacing w:val="0"/>
          <w:sz w:val="28"/>
          <w:u w:val="none"/>
        </w:rPr>
        <w:t>kWp*360天=</w:t>
      </w:r>
      <w:r>
        <w:rPr>
          <w:rFonts w:hint="eastAsia" w:ascii="宋体" w:hAnsi="宋体" w:eastAsia="宋体" w:cs="宋体"/>
          <w:i w:val="false"/>
          <w:strike w:val="false"/>
          <w:spacing w:val="0"/>
          <w:sz w:val="28"/>
          <w:u w:val="none"/>
          <w:lang w:val="en-US" w:eastAsia="zh-CN"/>
        </w:rPr>
        <w:t>717.35</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47" name="picture" descr="descript"/>
            <wp:cNvGraphicFramePr/>
            <a:graphic>
              <a:graphicData uri="http://schemas.openxmlformats.org/drawingml/2006/picture">
                <pic:pic>
                  <pic:nvPicPr>
                    <pic:cNvPr id="48" name="picture" descr="descript"/>
                    <pic:cNvPicPr/>
                  </pic:nvPicPr>
                  <pic:blipFill>
                    <a:blip r:embed="rId22"/>
                    <a:stretch>
                      <a:fillRect/>
                    </a:stretch>
                  </pic:blipFill>
                  <pic:spPr>
                    <a:xfrm>
                      <a:off x="0" y="0"/>
                      <a:ext cx="5274310" cy="2454297"/>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0.65元/kWh左右（每月电价有一定浮动），源网荷储到需要支付政府性</w:t>
      </w:r>
      <w:r>
        <w:rPr>
          <w:rFonts w:ascii="宋体" w:hAnsi="宋体" w:eastAsia="宋体" w:cs="宋体"/>
          <w:i w:val="false"/>
          <w:strike w:val="false"/>
          <w:spacing w:val="0"/>
          <w:sz w:val="28"/>
          <w:u w:val="none"/>
        </w:rPr>
        <w:t>基金及附加0.0288元</w:t>
      </w:r>
      <w:r>
        <w:rPr>
          <w:rFonts w:hint="eastAsia" w:ascii="宋体" w:hAnsi="宋体" w:eastAsia="宋体" w:cs="宋体"/>
          <w:snapToGrid/>
          <w:color w:val="auto"/>
          <w:spacing w:val="0"/>
          <w:w w:val="100"/>
          <w:kern w:val="2"/>
          <w:position w:val="0"/>
          <w:sz w:val="28"/>
          <w:szCs w:val="28"/>
          <w:lang w:val="en-US" w:eastAsia="zh-CN" w:bidi="zh-CN"/>
        </w:rPr>
        <w:t>/kWh，出于谨慎性原则，光伏发电用电电价为0.56元/kWh，暂不考虑电价调幅。</w:t>
      </w:r>
    </w:p>
    <w:p>
      <w:pPr>
        <w:keepNext w:val="false"/>
        <w:keepLines w:val="false"/>
        <w:pageBreakBefore w:val="false"/>
        <w:widowControl w:val="false"/>
        <w:numPr>
          <w:ilvl w:val="0"/>
          <w:numId w:val="0"/>
        </w:numPr>
        <w:kinsoku/>
        <w:wordWrap/>
        <w:overflowPunct/>
        <w:topLinePunct w:val="false"/>
        <w:autoSpaceDE/>
        <w:autoSpaceDN/>
        <w:bidi w:val="false"/>
        <w:adjustRightInd/>
        <w:snapToGrid/>
        <w:jc w:val="both"/>
        <w:textAlignment w:val="auto"/>
        <w:rPr>
          <w:rFonts w:hint="eastAsia" w:eastAsia="宋体"/>
          <w:lang w:eastAsia="zh-CN"/>
        </w:rPr>
      </w:pPr>
      <w:r>
        <w:rPr>
          <w:rFonts w:hint="eastAsia" w:eastAsia="宋体"/>
          <w:lang w:eastAsia="zh-CN"/>
        </w:rPr>
        <w:drawing>
          <wp:inline distT="0" distB="0" distL="114300" distR="114300">
            <wp:extent cx="5270500" cy="3602990"/>
            <wp:effectExtent l="0" t="0" r="6350" b="16510"/>
            <wp:docPr id="50" name="图片 10" descr="1720664141104"/>
            <wp:cNvGraphicFramePr>
              <a:graphicFrameLocks noChangeAspect="true"/>
            </wp:cNvGraphicFramePr>
            <a:graphic>
              <a:graphicData uri="http://schemas.openxmlformats.org/drawingml/2006/picture">
                <pic:pic>
                  <pic:nvPicPr>
                    <pic:cNvPr id="51" name="图片 10" descr="1720664141104"/>
                    <pic:cNvPicPr>
                      <a:picLocks noChangeAspect="true"/>
                    </pic:cNvPicPr>
                  </pic:nvPicPr>
                  <pic:blipFill>
                    <a:blip r:embed="rId23"/>
                    <a:stretch>
                      <a:fillRect/>
                    </a:stretch>
                  </pic:blipFill>
                  <pic:spPr>
                    <a:xfrm>
                      <a:off x="0" y="0"/>
                      <a:ext cx="5270500" cy="3602990"/>
                    </a:xfrm>
                    <a:prstGeom prst="rect">
                      <a:avLst/>
                    </a:prstGeom>
                  </pic:spPr>
                </pic:pic>
              </a:graphicData>
            </a:graphic>
          </wp:inline>
        </w:drawing>
      </w:r>
    </w:p>
    <w:p>
      <w:pPr>
        <w:pBdr>
          <w:bottom w:val="none" w:color="auto" w:sz="0" w:space="0"/>
        </w:pBdr>
        <w:snapToGrid/>
        <w:spacing w:line="240" w:lineRule="auto"/>
        <w:ind w:firstLineChars="200"/>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0.65元/kWh，则自发自用电费收益=（自用率*装机容量*1KW光伏装机容量平均日发电量*年发电天数-储能日储存电量*360）*工商业用电平均电价，贷款存续期间自用收益经营性收入估算合计为</w:t>
      </w:r>
      <w:r>
        <w:rPr>
          <w:rFonts w:hint="eastAsia" w:ascii="宋体" w:hAnsi="宋体" w:eastAsia="宋体" w:cs="宋体"/>
          <w:i w:val="false"/>
          <w:strike w:val="false"/>
          <w:spacing w:val="0"/>
          <w:sz w:val="28"/>
          <w:u w:val="none"/>
          <w:lang w:val="en-US" w:eastAsia="zh-CN"/>
        </w:rPr>
        <w:t>4202.76</w:t>
      </w:r>
      <w:r>
        <w:rPr>
          <w:rFonts w:hint="eastAsia" w:ascii="宋体" w:hAnsi="宋体" w:eastAsia="宋体" w:cs="宋体"/>
          <w:snapToGrid/>
          <w:color w:val="auto"/>
          <w:spacing w:val="0"/>
          <w:w w:val="100"/>
          <w:kern w:val="2"/>
          <w:position w:val="0"/>
          <w:sz w:val="28"/>
          <w:szCs w:val="28"/>
          <w:lang w:val="en-US" w:eastAsia="zh-CN" w:bidi="zh-CN"/>
        </w:rPr>
        <w:t>万元。（装机容量运营期首年衰减2%，以后每年衰减0.5%）详情请见估算表收入部分。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（1）峰值需求量：</w:t>
      </w:r>
      <w:r>
        <w:rPr>
          <w:rFonts w:hint="eastAsia" w:ascii="宋体" w:hAnsi="宋体" w:eastAsia="宋体" w:cs="宋体"/>
          <w:i w:val="false"/>
          <w:strike w:val="false"/>
          <w:spacing w:val="0"/>
          <w:sz w:val="28"/>
          <w:u w:val="none"/>
        </w:rPr>
        <w:t>河南大成包装材料有限公司</w:t>
      </w:r>
      <w:r>
        <w:rPr>
          <w:rFonts w:ascii="宋体" w:hAnsi="宋体" w:eastAsia="宋体" w:cs="宋体"/>
          <w:i w:val="false"/>
          <w:strike w:val="false"/>
          <w:spacing w:val="0"/>
          <w:sz w:val="28"/>
          <w:u w:val="none"/>
        </w:rPr>
        <w:t>年用电需求</w:t>
      </w:r>
      <w:r>
        <w:rPr>
          <w:rFonts w:hint="eastAsia" w:ascii="宋体" w:hAnsi="宋体" w:eastAsia="宋体" w:cs="宋体"/>
          <w:i w:val="false"/>
          <w:strike w:val="false"/>
          <w:spacing w:val="0"/>
          <w:sz w:val="28"/>
          <w:u w:val="none"/>
          <w:lang w:val="en-US" w:eastAsia="zh-CN"/>
        </w:rPr>
        <w:t>4752</w:t>
      </w:r>
      <w:r>
        <w:rPr>
          <w:rFonts w:ascii="宋体" w:hAnsi="宋体" w:eastAsia="宋体" w:cs="宋体"/>
          <w:i w:val="false"/>
          <w:strike w:val="false"/>
          <w:spacing w:val="0"/>
          <w:sz w:val="28"/>
          <w:u w:val="none"/>
        </w:rPr>
        <w:t>万kWh，考虑到该企业是24小时生产，峰值用电</w:t>
      </w:r>
      <w:r>
        <w:rPr>
          <w:rFonts w:hint="eastAsia" w:ascii="宋体" w:hAnsi="宋体" w:eastAsia="宋体" w:cs="宋体"/>
          <w:i w:val="false"/>
          <w:strike w:val="false"/>
          <w:spacing w:val="0"/>
          <w:sz w:val="28"/>
          <w:u w:val="none"/>
          <w:lang w:val="en-US" w:eastAsia="zh-CN"/>
        </w:rPr>
        <w:t>1425.60</w:t>
      </w:r>
      <w:r>
        <w:rPr>
          <w:rFonts w:ascii="宋体" w:hAnsi="宋体" w:eastAsia="宋体" w:cs="宋体"/>
          <w:i w:val="false"/>
          <w:strike w:val="false"/>
          <w:spacing w:val="0"/>
          <w:sz w:val="28"/>
          <w:u w:val="none"/>
        </w:rPr>
        <w:t>万kWh（高峰段为16--24时），本</w:t>
      </w:r>
      <w:r>
        <w:rPr>
          <w:rFonts w:hint="eastAsia" w:ascii="宋体" w:hAnsi="宋体" w:eastAsia="宋体" w:cs="宋体"/>
          <w:snapToGrid/>
          <w:color w:val="auto"/>
          <w:spacing w:val="0"/>
          <w:w w:val="100"/>
          <w:kern w:val="2"/>
          <w:position w:val="0"/>
          <w:sz w:val="28"/>
          <w:szCs w:val="28"/>
          <w:lang w:val="en-US" w:eastAsia="zh-CN" w:bidi="zh-CN"/>
        </w:rPr>
        <w:t>项目配备储能发电系统，最大储能量为每天8*5000=40000kWh。为谨慎考虑，日出能量按照95%计算为38000kWh。年储能供电量是38000kWh*360=1368万kWh，可为满足该企业波峰用电需求。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（2）储能销售电价：根据结合近2024年电力公司代理购电工商业用户电价表推算，</w:t>
      </w:r>
      <w:r>
        <w:rPr>
          <w:rFonts w:ascii="宋体" w:hAnsi="宋体" w:eastAsia="宋体" w:cs="宋体"/>
          <w:i w:val="false"/>
          <w:strike w:val="false"/>
          <w:spacing w:val="0"/>
          <w:sz w:val="28"/>
          <w:u w:val="none"/>
        </w:rPr>
        <w:t>峰值价差约为0.68元/kwh</w:t>
      </w:r>
      <w:r>
        <w:rPr>
          <w:rFonts w:hint="eastAsia" w:ascii="宋体" w:hAnsi="宋体" w:eastAsia="宋体" w:cs="宋体"/>
          <w:snapToGrid/>
          <w:color w:val="auto"/>
          <w:spacing w:val="0"/>
          <w:w w:val="100"/>
          <w:kern w:val="2"/>
          <w:position w:val="0"/>
          <w:sz w:val="28"/>
          <w:szCs w:val="28"/>
          <w:lang w:val="en-US" w:eastAsia="zh-CN" w:bidi="zh-CN"/>
        </w:rPr>
        <w:t>（未考虑尖峰电价），出于谨慎性原则，项目暂按0.61元/kWh测算。</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rFonts w:hint="eastAsia" w:ascii="宋体" w:hAnsi="宋体" w:eastAsia="宋体" w:cs="宋体"/>
          <w:i w:val="false"/>
          <w:strike w:val="false"/>
          <w:color w:val="000000"/>
          <w:spacing w:val="0"/>
          <w:sz w:val="28"/>
          <w:szCs w:val="28"/>
          <w:u w:val="none"/>
          <w:lang w:val="en-US" w:eastAsia="zh-CN"/>
        </w:rPr>
      </w:pPr>
      <w:r>
        <w:rPr>
          <w:rFonts w:hint="eastAsia" w:eastAsia="宋体"/>
          <w:lang w:eastAsia="zh-CN"/>
        </w:rPr>
        <w:drawing>
          <wp:inline distT="0" distB="0" distL="114300" distR="114300">
            <wp:extent cx="5270500" cy="2813685"/>
            <wp:effectExtent l="0" t="0" r="2540" b="5715"/>
            <wp:docPr id="53" name="图片 11" descr="1720664355964"/>
            <wp:cNvGraphicFramePr>
              <a:graphicFrameLocks noChangeAspect="true"/>
            </wp:cNvGraphicFramePr>
            <a:graphic>
              <a:graphicData uri="http://schemas.openxmlformats.org/drawingml/2006/picture">
                <pic:pic>
                  <pic:nvPicPr>
                    <pic:cNvPr id="54" name="图片 11" descr="1720664355964"/>
                    <pic:cNvPicPr>
                      <a:picLocks noChangeAspect="true"/>
                    </pic:cNvPicPr>
                  </pic:nvPicPr>
                  <pic:blipFill>
                    <a:blip r:embed="rId24"/>
                    <a:stretch>
                      <a:fillRect/>
                    </a:stretch>
                  </pic:blipFill>
                  <pic:spPr>
                    <a:xfrm>
                      <a:off x="0" y="0"/>
                      <a:ext cx="5270500" cy="2813685"/>
                    </a:xfrm>
                    <a:prstGeom prst="rect">
                      <a:avLst/>
                    </a:prstGeom>
                  </pic:spPr>
                </pic:pic>
              </a:graphicData>
            </a:graphic>
          </wp:inline>
        </w:drawing>
      </w:r>
    </w:p>
    <w:p>
      <w:pPr>
        <w:pBdr>
          <w:bottom w:val="none" w:color="auto" w:sz="0" w:space="0"/>
        </w:pBdr>
        <w:snapToGrid/>
        <w:spacing w:line="240" w:lineRule="auto"/>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w:t>
      </w:r>
      <w:r>
        <w:rPr>
          <w:rFonts w:hint="eastAsia" w:ascii="宋体" w:hAnsi="宋体" w:eastAsia="宋体" w:cs="宋体"/>
          <w:i w:val="false"/>
          <w:strike w:val="false"/>
          <w:spacing w:val="0"/>
          <w:sz w:val="28"/>
          <w:u w:val="none"/>
          <w:lang w:val="en-US" w:eastAsia="zh-CN"/>
        </w:rPr>
        <w:t>9596.52</w:t>
      </w:r>
      <w:r>
        <w:rPr>
          <w:rFonts w:hint="eastAsia" w:ascii="宋体" w:hAnsi="宋体" w:eastAsia="宋体" w:cs="宋体"/>
          <w:snapToGrid/>
          <w:color w:val="auto"/>
          <w:spacing w:val="0"/>
          <w:w w:val="100"/>
          <w:kern w:val="2"/>
          <w:position w:val="0"/>
          <w:sz w:val="28"/>
          <w:szCs w:val="28"/>
          <w:lang w:val="en-US" w:eastAsia="zh-CN" w:bidi="zh-CN"/>
        </w:rPr>
        <w:t>万元。</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置充电桩数量5个，全部是光伏储能充电桩。考虑到本项目的服务群体和区位，定价不宜过高，充电服务费标准按0.65元/千瓦时计算，功率为80kw，利用率按照运营期第0.5年使用系数按50%，第二年按60%，第三年按70%，第四年按80%，第五年按90%，第六年及以后按95%计算。每个充电桩每天工作4小时，年使用360天，每小时充电60度。贷款存续期间充电桩收入估算合计为277.99万元</w:t>
      </w:r>
      <w:r>
        <w:rPr>
          <w:rFonts w:ascii="宋体" w:hAnsi="宋体" w:eastAsia="宋体" w:cs="宋体"/>
          <w:i w:val="false"/>
          <w:strike w:val="false"/>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综上所述，项目12年运营期内总收入为13653.01万元。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生产服务用房用电用水由运营方承担。按实际生产量估算，价格依据现行市场确定，当项目达到设计达产能力100%，年成本费用为2.6万元/年，考虑到储能波谷充电，波峰放电，电池充电放每天消耗电能900kWh，波谷充电成本0.35元/kWh，年消耗电能2000kWh*360*0.35元/kWh=11.34万元。</w:t>
      </w:r>
      <w:r>
        <w:rPr>
          <w:rFonts w:ascii="宋体" w:hAnsi="宋体" w:eastAsia="宋体" w:cs="宋体"/>
          <w:i w:val="false"/>
          <w:strike w:val="false"/>
          <w:color w:val="000000"/>
          <w:spacing w:val="0"/>
          <w:sz w:val="28"/>
          <w:u w:val="none"/>
        </w:rPr>
        <w:t>项目运营期内年均</w:t>
      </w:r>
      <w:r>
        <w:rPr>
          <w:rFonts w:hint="eastAsia" w:ascii="宋体" w:hAnsi="宋体" w:eastAsia="宋体" w:cs="宋体"/>
          <w:snapToGrid/>
          <w:color w:val="auto"/>
          <w:spacing w:val="0"/>
          <w:w w:val="100"/>
          <w:kern w:val="2"/>
          <w:position w:val="0"/>
          <w:sz w:val="28"/>
          <w:szCs w:val="28"/>
          <w:lang w:val="en-US" w:eastAsia="zh-CN" w:bidi="zh-CN"/>
        </w:rPr>
        <w:t>燃料动力费成本27.08万元。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本项目编制拟定为6人，主要为运营、维修维护管理人员，平均工资标准为100000元/年，</w:t>
      </w:r>
      <w:r>
        <w:rPr>
          <w:rFonts w:ascii="宋体" w:hAnsi="宋体" w:eastAsia="宋体" w:cs="宋体"/>
          <w:i w:val="false"/>
          <w:strike w:val="false"/>
          <w:spacing w:val="0"/>
          <w:sz w:val="28"/>
          <w:u w:val="none"/>
        </w:rPr>
        <w:t>考虑平均社会发展水平，费用每年</w:t>
      </w:r>
      <w:r>
        <w:rPr>
          <w:rFonts w:hint="eastAsia" w:ascii="宋体" w:hAnsi="宋体" w:eastAsia="宋体" w:cs="宋体"/>
          <w:i w:val="false"/>
          <w:strike w:val="false"/>
          <w:spacing w:val="0"/>
          <w:sz w:val="28"/>
          <w:u w:val="none"/>
          <w:lang w:val="en-US" w:eastAsia="zh-CN"/>
        </w:rPr>
        <w:t>3</w:t>
      </w:r>
      <w:r>
        <w:rPr>
          <w:rFonts w:ascii="宋体" w:hAnsi="宋体" w:eastAsia="宋体" w:cs="宋体"/>
          <w:i w:val="false"/>
          <w:strike w:val="false"/>
          <w:spacing w:val="0"/>
          <w:sz w:val="28"/>
          <w:u w:val="none"/>
        </w:rPr>
        <w:t>增长</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w:t>
      </w:r>
      <w:r>
        <w:rPr>
          <w:rFonts w:hint="eastAsia" w:ascii="宋体" w:hAnsi="宋体" w:eastAsia="宋体" w:cs="宋体"/>
          <w:snapToGrid/>
          <w:color w:val="auto"/>
          <w:spacing w:val="0"/>
          <w:w w:val="100"/>
          <w:kern w:val="2"/>
          <w:position w:val="0"/>
          <w:sz w:val="28"/>
          <w:szCs w:val="28"/>
          <w:lang w:val="en-US" w:eastAsia="zh-CN" w:bidi="zh-CN"/>
        </w:rPr>
        <w:t>，经计算，年均职工薪酬及福利费为63.03万元。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w:t>
      </w:r>
      <w:r>
        <w:rPr>
          <w:rFonts w:ascii="宋体" w:hAnsi="宋体" w:eastAsia="宋体" w:cs="宋体"/>
          <w:i w:val="false"/>
          <w:strike w:val="false"/>
          <w:spacing w:val="0"/>
          <w:sz w:val="28"/>
          <w:u w:val="none"/>
        </w:rPr>
        <w:t>考虑平均社会发展水平，费用每年</w:t>
      </w:r>
      <w:r>
        <w:rPr>
          <w:rFonts w:hint="eastAsia" w:ascii="宋体" w:hAnsi="宋体" w:eastAsia="宋体" w:cs="宋体"/>
          <w:i w:val="false"/>
          <w:strike w:val="false"/>
          <w:spacing w:val="0"/>
          <w:sz w:val="28"/>
          <w:u w:val="none"/>
          <w:lang w:val="en-US" w:eastAsia="zh-CN"/>
        </w:rPr>
        <w:t>3</w:t>
      </w:r>
      <w:r>
        <w:rPr>
          <w:rFonts w:ascii="宋体" w:hAnsi="宋体" w:eastAsia="宋体" w:cs="宋体"/>
          <w:i w:val="false"/>
          <w:strike w:val="false"/>
          <w:spacing w:val="0"/>
          <w:sz w:val="28"/>
          <w:u w:val="none"/>
        </w:rPr>
        <w:t>增长</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w:t>
      </w:r>
      <w:r>
        <w:rPr>
          <w:rFonts w:hint="eastAsia" w:ascii="宋体" w:hAnsi="宋体" w:eastAsia="宋体" w:cs="宋体"/>
          <w:snapToGrid/>
          <w:color w:val="auto"/>
          <w:spacing w:val="0"/>
          <w:w w:val="100"/>
          <w:kern w:val="2"/>
          <w:position w:val="0"/>
          <w:sz w:val="28"/>
          <w:szCs w:val="28"/>
          <w:lang w:val="en-US" w:eastAsia="zh-CN" w:bidi="zh-CN"/>
        </w:rPr>
        <w:t>，经计算</w:t>
      </w:r>
      <w:r>
        <w:rPr>
          <w:rFonts w:ascii="宋体" w:hAnsi="宋体" w:eastAsia="宋体" w:cs="宋体"/>
          <w:i w:val="false"/>
          <w:strike w:val="false"/>
          <w:spacing w:val="0"/>
          <w:sz w:val="28"/>
          <w:u w:val="none"/>
        </w:rPr>
        <w:t>项目运营期内年均保洁维护费为</w:t>
      </w:r>
      <w:r>
        <w:rPr>
          <w:rFonts w:hint="eastAsia" w:ascii="宋体" w:hAnsi="宋体" w:eastAsia="宋体" w:cs="宋体"/>
          <w:i w:val="false"/>
          <w:strike w:val="false"/>
          <w:spacing w:val="0"/>
          <w:sz w:val="28"/>
          <w:u w:val="none"/>
          <w:lang w:val="en-US" w:eastAsia="zh-CN"/>
        </w:rPr>
        <w:t>30.58</w:t>
      </w:r>
      <w:r>
        <w:rPr>
          <w:rFonts w:ascii="宋体" w:hAnsi="宋体" w:eastAsia="宋体" w:cs="宋体"/>
          <w:i w:val="false"/>
          <w:strike w:val="false"/>
          <w:spacing w:val="0"/>
          <w:sz w:val="28"/>
          <w:u w:val="none"/>
        </w:rPr>
        <w:t>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4、电网过路费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是</w:t>
      </w:r>
      <w:r>
        <w:rPr>
          <w:rFonts w:ascii="宋体" w:hAnsi="宋体" w:eastAsia="宋体" w:cs="宋体"/>
          <w:i w:val="false"/>
          <w:strike w:val="false"/>
          <w:color w:val="000000"/>
          <w:spacing w:val="0"/>
          <w:sz w:val="28"/>
          <w:u w:val="none"/>
        </w:rPr>
        <w:t>指电网企业为回收电网网架投资和运行维护费用，并获得合理的资产回报而收取的费用，其核算在遵循国家核定输配电价基础上，应考虑分布式发电市场化交易双方所占用的电网资产、电压等级和电气距离。分布式发电“过网费”标准按接入电压等级和输电及电力消纳范围分级确定。</w:t>
      </w:r>
      <w:r>
        <w:rPr>
          <w:rFonts w:hint="eastAsia" w:ascii="宋体" w:hAnsi="宋体" w:eastAsia="宋体" w:cs="宋体"/>
          <w:i w:val="false"/>
          <w:strike w:val="false"/>
          <w:color w:val="000000"/>
          <w:spacing w:val="8"/>
          <w:sz w:val="28"/>
          <w:szCs w:val="28"/>
          <w:u w:val="none"/>
          <w:shd w:val="clear" w:color="auto" w:fill="FFFFFF"/>
        </w:rPr>
        <w:t>按电力用户接入电压等级对应的省级电网公共网络输配电价（含政策性交叉补贴）扣减分布式发电市场化交易所涉最高电压等级的输配电价</w:t>
      </w:r>
      <w:r>
        <w:rPr>
          <w:rFonts w:hint="eastAsia" w:ascii="宋体" w:hAnsi="宋体" w:eastAsia="宋体" w:cs="宋体"/>
          <w:snapToGrid/>
          <w:color w:val="000000"/>
          <w:spacing w:val="0"/>
          <w:w w:val="100"/>
          <w:kern w:val="2"/>
          <w:position w:val="0"/>
          <w:sz w:val="28"/>
          <w:szCs w:val="28"/>
          <w:lang w:val="en-US" w:eastAsia="zh-CN" w:bidi="zh-CN"/>
        </w:rPr>
        <w:t>，河南省2024年12月不满1千伏0.1955元/kWh，10-35千伏0.168元/kWh，差额是0.0275元/kWh，考虑到河南省未公布相应过网费标准，本项目按照0.06元/kWh计算，</w:t>
      </w:r>
      <w:r>
        <w:rPr>
          <w:rFonts w:ascii="宋体" w:hAnsi="宋体" w:eastAsia="宋体" w:cs="宋体"/>
          <w:i w:val="false"/>
          <w:strike w:val="false"/>
          <w:color w:val="FF0000"/>
          <w:spacing w:val="0"/>
          <w:sz w:val="28"/>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项目运营期内年均电网过路费为</w:t>
      </w:r>
      <w:r>
        <w:rPr>
          <w:rFonts w:hint="eastAsia" w:ascii="宋体" w:hAnsi="宋体" w:eastAsia="宋体" w:cs="宋体"/>
          <w:i w:val="false"/>
          <w:strike w:val="false"/>
          <w:color w:val="FF0000"/>
          <w:spacing w:val="0"/>
          <w:sz w:val="28"/>
          <w:u w:val="none"/>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39.28</w:t>
      </w:r>
      <w:r>
        <w:rPr>
          <w:rFonts w:ascii="宋体" w:hAnsi="宋体" w:eastAsia="宋体" w:cs="宋体"/>
          <w:i w:val="false"/>
          <w:strike w:val="false"/>
          <w:color w:val="FF0000"/>
          <w:spacing w:val="0"/>
          <w:sz w:val="28"/>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万元</w:t>
      </w:r>
      <w:r>
        <w:rPr>
          <w:rFonts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5、折旧与摊销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本项目按直线法计算折旧，本项目主要是光伏设备和储能设备，该设备折旧年限为20年，残值率为5%。项目运营期内年均折旧额为356.79万元。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5、运营及管理费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主要为光伏发电设备、储能系统管理和光伏充电桩等，结合项目实际情况，考虑平均社会发展水平，价格每5年增长5%，则项目合计年均为12.95万元。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7、利息支出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项目申请贷款6900万元，年限为12年，其中建设期0.5年，建设期利息计入总投资，利率为5.04%。运营期内每年还本付息，具体情况见《还本付息表》。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color w:val="auto"/>
        </w:rPr>
      </w:pPr>
      <w:r>
        <w:rPr>
          <w:rFonts w:ascii="宋体" w:hAnsi="宋体" w:eastAsia="宋体" w:cs="宋体"/>
          <w:i w:val="false"/>
          <w:strike w:val="false"/>
          <w:color w:val="auto"/>
          <w:spacing w:val="0"/>
          <w:sz w:val="28"/>
          <w:u w:val="none"/>
        </w:rPr>
        <w:t>RO</w:t>
      </w:r>
      <w:r>
        <w:rPr>
          <w:rFonts w:hint="eastAsia" w:ascii="宋体" w:hAnsi="宋体" w:eastAsia="宋体" w:cs="宋体"/>
          <w:i w:val="false"/>
          <w:strike w:val="false"/>
          <w:color w:val="auto"/>
          <w:spacing w:val="0"/>
          <w:sz w:val="28"/>
          <w:u w:val="none"/>
          <w:lang w:val="en-US" w:eastAsia="zh-CN"/>
        </w:rPr>
        <w:t>I</w:t>
      </w:r>
      <w:r>
        <w:rPr>
          <w:rFonts w:ascii="宋体" w:hAnsi="宋体" w:eastAsia="宋体" w:cs="宋体"/>
          <w:i w:val="false"/>
          <w:strike w:val="false"/>
          <w:color w:val="auto"/>
          <w:spacing w:val="0"/>
          <w:sz w:val="28"/>
          <w:u w:val="none"/>
        </w:rPr>
        <w:t>=EBIT/TI*100%=</w:t>
      </w:r>
      <w:r>
        <w:rPr>
          <w:rFonts w:hint="eastAsia" w:ascii="宋体" w:hAnsi="宋体" w:eastAsia="宋体" w:cs="宋体"/>
          <w:i w:val="false"/>
          <w:strike w:val="false"/>
          <w:color w:val="auto"/>
          <w:spacing w:val="0"/>
          <w:sz w:val="28"/>
          <w:u w:val="none"/>
          <w:lang w:val="en-US" w:eastAsia="zh-CN"/>
        </w:rPr>
        <w:t>5.69</w:t>
      </w:r>
      <w:r>
        <w:rPr>
          <w:rFonts w:ascii="宋体" w:hAnsi="宋体" w:eastAsia="宋体" w:cs="宋体"/>
          <w:i w:val="false"/>
          <w:strike w:val="false"/>
          <w:color w:val="auto"/>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按照《方法与参数》的规定，资本金净利润率（ROE）表示利润总额占用资本金的百分比，这个比值反映了投资者投入企业资本金的获利能力，是一种获利能力的标准性的指标。其计算公式如下：</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ROE=NP/EC*100%=</w:t>
      </w:r>
      <w:r>
        <w:rPr>
          <w:rFonts w:hint="eastAsia" w:ascii="宋体" w:hAnsi="宋体" w:eastAsia="宋体" w:cs="宋体"/>
          <w:i w:val="false"/>
          <w:strike w:val="false"/>
          <w:color w:val="000000"/>
          <w:spacing w:val="0"/>
          <w:sz w:val="28"/>
          <w:u w:val="none"/>
          <w:lang w:val="en-US" w:eastAsia="zh-CN"/>
        </w:rPr>
        <w:t>13.17</w:t>
      </w:r>
      <w:r>
        <w:rPr>
          <w:rFonts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56" name="picture" descr="descript"/>
            <wp:cNvGraphicFramePr/>
            <a:graphic>
              <a:graphicData uri="http://schemas.openxmlformats.org/drawingml/2006/picture">
                <pic:pic>
                  <pic:nvPicPr>
                    <pic:cNvPr id="57" name="picture" descr="descript"/>
                    <pic:cNvPicPr/>
                  </pic:nvPicPr>
                  <pic:blipFill>
                    <a:blip r:embed="rId25"/>
                    <a:stretch>
                      <a:fillRect/>
                    </a:stretch>
                  </pic:blipFill>
                  <pic:spPr>
                    <a:xfrm>
                      <a:off x="0" y="0"/>
                      <a:ext cx="2362200" cy="54229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本项目税后全部投资财务内部收益率（FIRR）计算结果为7.86%。</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pPr>
        <w:snapToGrid/>
        <w:spacing w:before="161" w:after="161" w:line="360" w:lineRule="auto"/>
        <w:ind w:left="0"/>
        <w:jc w:val="center"/>
        <w:rPr>
          <w:color w:val="FF0000"/>
        </w:rPr>
      </w:pPr>
      <w:r>
        <w:rPr>
          <w:color w:val="FF0000"/>
        </w:rPr>
        <w:drawing>
          <wp:inline distT="0" distB="0" distL="0" distR="0">
            <wp:extent cx="2514600" cy="457200"/>
            <wp:effectExtent l="0" t="0" r="0" b="0"/>
            <wp:docPr id="59" name="picture" descr="descript"/>
            <wp:cNvGraphicFramePr/>
            <a:graphic>
              <a:graphicData uri="http://schemas.openxmlformats.org/drawingml/2006/picture">
                <pic:pic>
                  <pic:nvPicPr>
                    <pic:cNvPr id="60" name="picture" descr="descript"/>
                    <pic:cNvPicPr/>
                  </pic:nvPicPr>
                  <pic:blipFill>
                    <a:blip r:embed="rId26"/>
                    <a:stretch>
                      <a:fillRect/>
                    </a:stretch>
                  </pic:blipFill>
                  <pic:spPr>
                    <a:xfrm>
                      <a:off x="0" y="0"/>
                      <a:ext cx="2514600" cy="4572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本项目税后全部投资财务净现值（FNPV）计算结果为2053.51万元。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28" w:line="360" w:lineRule="auto"/>
        <w:ind w:left="0" w:firstLine="560" w:firstLineChars="20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drawing>
          <wp:inline distT="0" distB="0" distL="0" distR="0">
            <wp:extent cx="1447800" cy="533400"/>
            <wp:effectExtent l="0" t="0" r="0" b="0"/>
            <wp:docPr id="62" name="picture" descr="descript"/>
            <wp:cNvGraphicFramePr/>
            <a:graphic>
              <a:graphicData uri="http://schemas.openxmlformats.org/drawingml/2006/picture">
                <pic:pic>
                  <pic:nvPicPr>
                    <pic:cNvPr id="63" name="picture" descr="descript"/>
                    <pic:cNvPicPr/>
                  </pic:nvPicPr>
                  <pic:blipFill>
                    <a:blip r:embed="rId27"/>
                    <a:stretch>
                      <a:fillRect/>
                    </a:stretch>
                  </pic:blipFill>
                  <pic:spPr>
                    <a:xfrm>
                      <a:off x="0" y="0"/>
                      <a:ext cx="1447800" cy="5334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本项目税后投资回收期（Pt）经计算为11.28年（含建设期）。</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BEP项目能力利用率=年固定成本/（年营业收入-年可变成本-年营业税金及附加）×100％=50.64%</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r>
      <w:tr>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5.20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6.06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6.92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7.86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8.64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9.50</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FF0000"/>
                <w:lang w:val="en-US" w:eastAsia="zh-CN"/>
              </w:rPr>
            </w:pPr>
            <w:r>
              <w:rPr>
                <w:rFonts w:hint="eastAsia" w:ascii="宋体" w:hAnsi="宋体" w:eastAsia="宋体" w:cs="宋体"/>
                <w:i w:val="false"/>
                <w:strike w:val="false"/>
                <w:color w:val="auto"/>
                <w:spacing w:val="0"/>
                <w:sz w:val="21"/>
                <w:u w:val="none"/>
                <w:lang w:val="en-US" w:eastAsia="zh-CN"/>
              </w:rPr>
              <w:t>10.36</w:t>
            </w:r>
          </w:p>
        </w:tc>
      </w:tr>
      <w:tr>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8.22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8.08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7.93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7.86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7.64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7.49</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7.35</w:t>
            </w:r>
          </w:p>
        </w:tc>
      </w:tr>
      <w:tr>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10.04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9.20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8.46</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7.86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7.17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6.62</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6.12</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该项目具有较强的抗风险能力，但应密切关注中水回用价格的变化，制定适应市场变化的经营策略；同时注意控制项目的成本费用，降低经营成本。</w:t>
      </w:r>
    </w:p>
    <w:bookmarkStart w:id="82" w:name="_Toc8749"/>
    <w:bookmarkStart w:id="83" w:name="_Toc11163"/>
    <w:bookmarkStart w:id="84" w:name="_Toc1598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6.3 资金投入计划和筹措方案</w:t>
      </w:r>
      <w:bookmarkEnd w:id="82"/>
      <w:bookmarkEnd w:id="83"/>
      <w:bookmarkEnd w:id="8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本项目总投资8700.05万元，其中固定资产投资8700.05万元，0.5年建设期内均匀投入。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在资金筹措方面，项目总投资由资本金和项目融资或其他债务性资金两部分构成，一是资本金1800.05万元，占总投资的20.69%，二是项目融资、企业自筹资金或者其他债务性资金6900万元，占总投资的79.31%。</w:t>
      </w:r>
    </w:p>
    <w:bookmarkStart w:id="85" w:name="_Toc9143"/>
    <w:bookmarkStart w:id="86" w:name="_Toc4986"/>
    <w:bookmarkStart w:id="87" w:name="_Toc2175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6.4 债务清偿能力分析</w:t>
      </w:r>
      <w:bookmarkEnd w:id="85"/>
      <w:bookmarkEnd w:id="86"/>
      <w:bookmarkEnd w:id="87"/>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该项目综合利息备付率4.56，综合偿债备付率1.12，说明企业具有较强的清偿能力。</w:t>
      </w:r>
    </w:p>
    <w:bookmarkStart w:id="88" w:name="_Toc21961"/>
    <w:bookmarkStart w:id="89" w:name="_Toc13409"/>
    <w:bookmarkStart w:id="90" w:name="_Toc2145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6.5 财务可持续性分析</w:t>
      </w:r>
      <w:bookmarkEnd w:id="88"/>
      <w:bookmarkEnd w:id="89"/>
      <w:bookmarkEnd w:id="9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7.86%，投资回收期为11.28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pPr>
        <w:rPr>
          <w:rFonts w:ascii="宋体" w:hAnsi="宋体" w:eastAsia="宋体" w:cs="宋体"/>
          <w:b/>
          <w:i w:val="false"/>
          <w:strike w:val="false"/>
          <w:color w:val="000000"/>
          <w:spacing w:val="0"/>
          <w:sz w:val="36"/>
          <w:u w:val="none"/>
        </w:rPr>
      </w:pPr>
      <w:r>
        <w:rPr>
          <w:rFonts w:ascii="宋体" w:hAnsi="宋体" w:eastAsia="宋体" w:cs="宋体"/>
          <w:b/>
          <w:i w:val="false"/>
          <w:strike w:val="false"/>
          <w:color w:val="000000"/>
          <w:spacing w:val="0"/>
          <w:sz w:val="36"/>
          <w:u w:val="none"/>
        </w:rPr>
        <w:br w:type="page"/>
      </w:r>
    </w:p>
    <w:bookmarkStart w:id="91" w:name="_Toc4400"/>
    <w:bookmarkStart w:id="92" w:name="_Toc29809"/>
    <w:bookmarkStart w:id="93" w:name="_Toc332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第七章 项目影响效果分析</w:t>
      </w:r>
      <w:bookmarkEnd w:id="91"/>
      <w:bookmarkEnd w:id="92"/>
      <w:bookmarkEnd w:id="93"/>
    </w:p>
    <w:bookmarkStart w:id="94" w:name="_Toc18730"/>
    <w:bookmarkStart w:id="95" w:name="_Toc968"/>
    <w:bookmarkStart w:id="96" w:name="_Toc339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7.1 经济影响分析</w:t>
      </w:r>
      <w:bookmarkEnd w:id="94"/>
      <w:bookmarkEnd w:id="95"/>
      <w:bookmarkEnd w:id="9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增加了居民的收入水平，而且提升了劳动力素质和就业稳定性，减少了社会不稳定因素，为区域社会的和谐稳定发展做出了重要贡献，为经济发展营造了良好的社会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bookmarkStart w:id="97" w:name="_Toc14234"/>
    <w:bookmarkStart w:id="98" w:name="_Toc31340"/>
    <w:bookmarkStart w:id="99" w:name="_Toc1385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7.2 社会影响分析</w:t>
      </w:r>
      <w:bookmarkEnd w:id="97"/>
      <w:bookmarkEnd w:id="98"/>
      <w:bookmarkEnd w:id="9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加强安全管理：严格执行安全生产制度、建立健全的安全监管审批、落实风险研判、安全现场考核等措施，确保安全生产。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bookmarkStart w:id="100" w:name="_Toc21639"/>
    <w:bookmarkStart w:id="101" w:name="_Toc20797"/>
    <w:bookmarkStart w:id="102" w:name="_Toc2723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7.3 生态环境影响分析</w:t>
      </w:r>
      <w:bookmarkEnd w:id="100"/>
      <w:bookmarkEnd w:id="101"/>
      <w:bookmarkEnd w:id="10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项目在污染物排放、地环境敏感区等方面的影响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both"/>
        <w:textAlignment w:val="baseline"/>
        <w:rPr/>
      </w:pPr>
      <w:r>
        <w:rPr>
          <w:rFonts w:ascii="宋体" w:hAnsi="宋体" w:eastAsia="宋体" w:cs="宋体"/>
          <w:b/>
          <w:i w:val="false"/>
          <w:strike w:val="false"/>
          <w:color w:val="000000"/>
          <w:spacing w:val="0"/>
          <w:sz w:val="28"/>
          <w:u w:val="none"/>
          <w:vertAlign w:val="baseline"/>
        </w:rPr>
        <w:t>7.3.2.1 环境保护目标和具体质量标准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7.3.2.2</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建设期环境影响及治理措施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（2）对噪声震动固定设备采用固定或移动式隔振降噪处理。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（3）避免现场混凝土搅拌作业，采用新技术缩短连续浇灌作业时间。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（4）尽可能避免高噪声震动设备同时作业。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它用地，施工完成后应尽可能的给予人工恢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firstLine="0" w:firstLineChars="0"/>
        <w:jc w:val="both"/>
        <w:textAlignment w:val="baseline"/>
        <w:rPr/>
      </w:pPr>
      <w:r>
        <w:rPr>
          <w:rFonts w:ascii="宋体" w:hAnsi="宋体" w:eastAsia="宋体" w:cs="宋体"/>
          <w:b/>
          <w:i w:val="false"/>
          <w:strike w:val="false"/>
          <w:color w:val="000000"/>
          <w:spacing w:val="0"/>
          <w:sz w:val="28"/>
          <w:u w:val="none"/>
        </w:rPr>
        <w:t>7.3.2.3 地质灾害影响分析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7.3.2.4</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7.3.2.5</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环境影响分析结论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的进行妥当处理，可以做到废气、废水、噪声及固体废弃物达标排放；并严格执行环保设施与主体工程同时设计、同时施工、同时投入运行的“三同时”制度，将对环境的影响降到最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bookmarkStart w:id="103" w:name="_Toc21575"/>
    <w:bookmarkStart w:id="104" w:name="_Toc24149"/>
    <w:bookmarkStart w:id="105" w:name="_Toc1227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7.4 资源和能源利用效果分析</w:t>
      </w:r>
      <w:bookmarkEnd w:id="103"/>
      <w:bookmarkEnd w:id="104"/>
      <w:bookmarkEnd w:id="10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本项目非重要资源的项目，项目建设完成后，项目运营方式为中光伏电站发电、储能调峰及源网荷储等，项目所消耗能源主要为电力。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（6）配电线路的选择：通过计算合理的选择导线的截面及线路敷设方案，降低配电线路的损耗；采用单芯电缆组成的供配电回路时，电缆呈品字形敷设以降低线路阻抗。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bookmarkStart w:id="106" w:name="_Toc23202"/>
    <w:bookmarkStart w:id="107" w:name="_Toc28750"/>
    <w:bookmarkStart w:id="108" w:name="_Toc1682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7.5 碳达峰碳中和分析</w:t>
      </w:r>
      <w:bookmarkEnd w:id="106"/>
      <w:bookmarkEnd w:id="107"/>
      <w:bookmarkEnd w:id="10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bookmarkStart w:id="109" w:name="_Toc31120"/>
    <w:bookmarkStart w:id="110" w:name="_Toc23354"/>
    <w:bookmarkStart w:id="111" w:name="_Toc506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第八章 项目风险管控方案</w:t>
      </w:r>
      <w:bookmarkEnd w:id="109"/>
      <w:bookmarkEnd w:id="110"/>
      <w:bookmarkEnd w:id="111"/>
    </w:p>
    <w:bookmarkStart w:id="112" w:name="_Toc16047"/>
    <w:bookmarkStart w:id="113" w:name="_Toc16035"/>
    <w:bookmarkStart w:id="114" w:name="_Toc1994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8.1 风险识别与评价</w:t>
      </w:r>
      <w:bookmarkEnd w:id="112"/>
      <w:bookmarkEnd w:id="113"/>
      <w:bookmarkEnd w:id="11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项目实施的组织、管理、合同、经济和技术策划过程中，由于项目经营人才技术程度低而带来的风险。项目管理风险是指项目在实施和使用的过程中因管理不善而导致项目失败的可能性。主要包括管理方法落后，管理人员综合素质不高以及决策失误等诸多因素可能增加的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bookmarkStart w:id="115" w:name="_Toc17477"/>
    <w:bookmarkStart w:id="116" w:name="_Toc31594"/>
    <w:bookmarkStart w:id="117" w:name="_Toc1263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8.2 风险评估</w:t>
      </w:r>
      <w:bookmarkEnd w:id="115"/>
      <w:bookmarkEnd w:id="116"/>
      <w:bookmarkEnd w:id="117"/>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说明</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市场需求及竞争</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项目投资额较大</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项目功能系统复杂</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具有政策优势</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技术成熟</w:t>
            </w:r>
          </w:p>
        </w:tc>
      </w:tr>
    </w:tbl>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false"/>
          <w:strike w:val="false"/>
          <w:color w:val="000000"/>
          <w:spacing w:val="0"/>
          <w:sz w:val="21"/>
          <w:szCs w:val="21"/>
          <w:u w:val="none"/>
        </w:rPr>
        <w:t>注：上表把风险程度分为五个档次：微小、较小、一般、较大、重大。</w:t>
      </w:r>
    </w:p>
    <w:bookmarkStart w:id="118" w:name="_Toc15200"/>
    <w:bookmarkStart w:id="119" w:name="_Toc17787"/>
    <w:bookmarkStart w:id="120" w:name="_Toc1711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8.3 风险管控方案</w:t>
      </w:r>
      <w:bookmarkEnd w:id="118"/>
      <w:bookmarkEnd w:id="119"/>
      <w:bookmarkEnd w:id="12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针对市场风险，应做好配套的项目招商引资方案，从项目前期策划就对市场进行详细分析，制定针对性的营销策略，完善软硬件配套设施，增强服务的深度和广度，不断的开拓新的市场份额。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了相应的管理体制和内部组织机构，并使之规范运行。不断向同行业其它经营较好的企业学习，不断丰富自身管理经验，逐步提升管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bookmarkStart w:id="121" w:name="_Toc16038"/>
    <w:bookmarkStart w:id="122" w:name="_Toc26235"/>
    <w:bookmarkStart w:id="123" w:name="_Toc448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8.4 重大风险管控应急预案</w:t>
      </w:r>
      <w:bookmarkEnd w:id="121"/>
      <w:bookmarkEnd w:id="122"/>
      <w:bookmarkEnd w:id="12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根据对各种风险因素及风险程度的分析，本项目面临的主要风险已经明确，针对这些风险因素提出如下的防范和降低风险的措施：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pPr>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br w:type="page"/>
      </w:r>
    </w:p>
    <w:bookmarkStart w:id="124" w:name="_Toc14313"/>
    <w:bookmarkStart w:id="125" w:name="_Toc14999"/>
    <w:bookmarkStart w:id="126" w:name="_Toc1760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第九章 结论和建议</w:t>
      </w:r>
      <w:bookmarkEnd w:id="124"/>
      <w:bookmarkEnd w:id="125"/>
      <w:bookmarkEnd w:id="126"/>
    </w:p>
    <w:bookmarkStart w:id="127" w:name="_Toc14440"/>
    <w:bookmarkStart w:id="128" w:name="_Toc18930"/>
    <w:bookmarkStart w:id="129" w:name="_Toc627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9.1 结论</w:t>
      </w:r>
      <w:bookmarkEnd w:id="127"/>
      <w:bookmarkEnd w:id="128"/>
      <w:bookmarkEnd w:id="12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3、本项目的建设是积极顺应供给侧结构性改革大势，大力实施创新新驱动战略，努力推动经济发展方式转变和经济结构调整的重要举措。</w:t>
      </w:r>
    </w:p>
    <w:bookmarkStart w:id="130" w:name="_Toc8506"/>
    <w:bookmarkStart w:id="131" w:name="_Toc31302"/>
    <w:bookmarkStart w:id="132" w:name="_Toc377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9.2 建议</w:t>
      </w:r>
      <w:bookmarkEnd w:id="130"/>
      <w:bookmarkEnd w:id="131"/>
      <w:bookmarkEnd w:id="13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5、为了尽快实施该项目，应当优化项目管理流程和执行计划。确保项目各阶段的设计、审批、采购和施工能够高效有序地进行，避免因流程繁琐或延迟导致项目推迟。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pPr>
        <w:snapToGrid/>
        <w:spacing w:line="240" w:lineRule="auto"/>
        <w:rPr/>
      </w:pPr>
    </w:p>
    <w:p>
      <w:pPr>
        <w:snapToGrid/>
        <w:spacing w:line="240" w:lineRule="auto"/>
        <w:rPr/>
      </w:pPr>
    </w:p>
    <w:p>
      <w:pPr>
        <w:snapToGrid/>
        <w:spacing w:line="240" w:lineRule="auto"/>
        <w:rPr/>
      </w:pPr>
      <w:r>
        <w:rPr>
          <w:rFonts w:ascii="Arial" w:hAnsi="Arial" w:eastAsia="Arial" w:cs="Arial"/>
          <w:i w:val="false"/>
          <w:strike w:val="false"/>
          <w:color w:val="000000"/>
          <w:sz w:val="21"/>
          <w:u w:val="none"/>
        </w:rPr>
        <w:t> </w:t>
      </w:r>
    </w:p>
    <w:p>
      <w:pPr>
        <w:snapToGrid/>
        <w:spacing w:before="157" w:after="157" w:line="360" w:lineRule="auto"/>
        <w:ind w:right="0" w:rightChars="0" w:firstLine="420" w:firstLineChars="200"/>
        <w:jc w:val="both"/>
        <w:rPr/>
      </w:pPr>
    </w:p>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spacing w:val="0"/>
          <w:w w:val="100"/>
          <w:kern w:val="2"/>
          <w:position w:val="0"/>
          <w:sz w:val="28"/>
          <w:szCs w:val="28"/>
          <w:lang w:val="en-US" w:eastAsia="zh-CN" w:bidi="zh-CN"/>
        </w:rPr>
        <w:br w:type="page"/>
      </w:r>
    </w:p>
    <w:p>
      <w:p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bookmarkStart w:id="133" w:name="_Toc23144"/>
    <w:bookmarkStart w:id="134" w:name="_Toc10969"/>
    <w:bookmarkStart w:id="135" w:name="_Toc1013"/>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附表1：建设投资估算表</w:t>
      </w:r>
      <w:bookmarkEnd w:id="133"/>
      <w:bookmarkEnd w:id="134"/>
      <w:bookmarkEnd w:id="13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3091"/>
        <w:gridCol w:w="1230"/>
        <w:gridCol w:w="1156"/>
        <w:gridCol w:w="1285"/>
        <w:gridCol w:w="1285"/>
        <w:gridCol w:w="1284"/>
        <w:gridCol w:w="870"/>
        <w:gridCol w:w="1245"/>
        <w:gridCol w:w="1724"/>
      </w:tblGrid>
      <w:tr>
        <w:trPr>
          <w:trHeight w:val="476" w:hRule="atLeast"/>
          <w:tblHeader/>
        </w:trPr>
        <w:tc>
          <w:tcPr>
            <w:tcW w:w="13941" w:type="dxa"/>
            <w:gridSpan w:val="10"/>
            <w:tcBorders>
              <w:top w:val="nil"/>
              <w:left w:val="nil"/>
              <w:bottom w:val="nil"/>
              <w:right w:val="nil"/>
            </w:tcBorders>
            <w:shd w:val="clear" w:color="auto" w:fill="auto"/>
            <w:vAlign w:val="center"/>
          </w:tcPr>
          <w:p>
            <w:pPr>
              <w:keepNext w:val="false"/>
              <w:keepLines w:val="false"/>
              <w:widowControl/>
              <w:suppressLineNumbers w:val="false"/>
              <w:jc w:val="right"/>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color w:val="000000"/>
                <w:kern w:val="0"/>
                <w:sz w:val="21"/>
                <w:szCs w:val="21"/>
                <w:u w:val="none"/>
                <w:lang w:val="en-US" w:eastAsia="zh-CN"/>
              </w:rPr>
              <w:t>单位：万元</w:t>
            </w:r>
          </w:p>
        </w:tc>
      </w:tr>
      <w:tr>
        <w:trPr>
          <w:trHeight w:val="546" w:hRule="atLeast"/>
          <w:tblHead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序号</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工程或费用名称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建筑工程费</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安装工程费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设备购置费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其他费用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合计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单位</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数量</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综合单价（万元）</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163.75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328.38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7310.15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7802.28</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89.68%</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光伏发电工程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290.65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7056.51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7443.91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85.56%</w:t>
            </w:r>
          </w:p>
        </w:tc>
      </w:tr>
      <w:tr>
        <w:trPr>
          <w:trHeight w:val="420" w:hRule="atLeast"/>
        </w:trPr>
        <w:tc>
          <w:tcPr>
            <w:tcW w:w="771"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230"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96.75</w:t>
            </w:r>
          </w:p>
        </w:tc>
        <w:tc>
          <w:tcPr>
            <w:tcW w:w="1156"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160.65</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1572.51</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1829.91</w:t>
            </w:r>
          </w:p>
        </w:tc>
        <w:tc>
          <w:tcPr>
            <w:tcW w:w="870"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5950.00</w:t>
            </w:r>
          </w:p>
        </w:tc>
        <w:tc>
          <w:tcPr>
            <w:tcW w:w="1724"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0.31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lang w:val="en-US" w:eastAsia="zh-CN"/>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光伏组件A级</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1003.54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1003.54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10908.00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0.09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49.00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2.50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9.00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1.04</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87.29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47.83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47.83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126.00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0.39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千套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2.30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0.60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8.10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18.23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20.26</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5.13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45.68</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810.00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0.06</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80.25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电池储能集装箱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5484.00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5614.00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40000.00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0.14</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电池系统 5000KWH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4220.00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4220.00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527.50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67.00</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37.73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253.64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358.37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5551.30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0.23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0.32</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25.15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37.73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188.64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251.52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bookmarkStart w:id="136" w:name="_GoBack"/>
        <w:bookmarkEnd w:id="136"/>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光伏充电桩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400.68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400.68</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4.61%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建设用地费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62.42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62.42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39.01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工程勘察费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78.02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78.02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54.62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54.62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39.01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15.60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23.41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23.41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410.15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410.15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4.71%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410.15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410.15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（一+二）*5%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163.75</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328.38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7310.15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810.83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8613.11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99.00%</w:t>
            </w:r>
          </w:p>
        </w:tc>
      </w:tr>
      <w:tr>
        <w:trPr>
          <w:trHeight w:val="472"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86.94</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1.00%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七</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8700.05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rPr>
          <w:rFonts w:hint="default" w:ascii="宋体" w:hAnsi="宋体" w:eastAsia="宋体" w:cs="宋体"/>
          <w:b/>
          <w:bCs/>
          <w:i w:val="false"/>
          <w:iCs w:val="false"/>
          <w:color w:val="FF0000"/>
          <w:kern w:val="0"/>
          <w:sz w:val="28"/>
          <w:szCs w:val="28"/>
          <w:u w:val="none"/>
          <w:lang w:val="en-US" w:eastAsia="zh-CN"/>
        </w:rPr>
      </w:pPr>
    </w:p>
    <w:p>
      <w:pPr>
        <w:rPr/>
      </w:pPr>
    </w:p>
    <w:p>
      <w:pPr>
        <w:rPr/>
      </w:pPr>
    </w:p>
    <w:p>
      <w:pPr>
        <w:rPr/>
      </w:pPr>
    </w:p>
    <w:p>
      <w:pPr>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Start w:id="137" w:name="_Toc13313"/>
    <w:bookmarkStart w:id="138" w:name="_Toc17567"/>
    <w:bookmarkStart w:id="139" w:name="_Toc7389"/>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bookmarkEnd w:id="137"/>
      <w:bookmarkEnd w:id="138"/>
      <w:bookmarkEnd w:id="139"/>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7837.93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7651.78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7279.47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6907.17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6534.87</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6162.57</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186.15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7651.78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7279.47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6907.17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6534.87</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6162.57</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5790.27</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186.15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5790.27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5417.97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5045.67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4673.36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4301.06</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3928.76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5417.97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5045.67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4673.36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4301.06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3928.76</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3556.46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bl>
    <w:p>
      <w:pPr>
        <w:ind w:left="0" w:leftChars="0" w:firstLine="0" w:firstLineChars="0"/>
        <w:rPr>
          <w:rFonts w:hint="default" w:eastAsiaTheme="minorEastAsia"/>
          <w:lang w:val="en-US" w:eastAsia="zh-CN"/>
        </w:rPr>
      </w:pPr>
      <w:r>
        <w:rPr>
          <w:rFonts w:hint="default" w:eastAsiaTheme="minorEastAsia"/>
          <w:lang w:val="en-US" w:eastAsia="zh-CN"/>
        </w:rPr>
        <w:br w:type="page"/>
      </w:r>
    </w:p>
    <w:bookmarkStart w:id="140" w:name="_Toc12963"/>
    <w:bookmarkStart w:id="141" w:name="_Toc10373"/>
    <w:bookmarkStart w:id="142" w:name="_Toc16695"/>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bookmarkEnd w:id="140"/>
      <w:bookmarkEnd w:id="141"/>
      <w:bookmarkEnd w:id="142"/>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13653.01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621.10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1243.04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1243.89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1244.75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1245.62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1245.10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4202.76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196.84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391.72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389.76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385.87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383.94</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5801.85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5772.84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5743.97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5715.25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5686.68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9596.52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417.24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277.99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7.02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16.85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25.27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178.83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15.59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155.89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1844.52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80.46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160.92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160.80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56.24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4.90</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13653.01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1243.18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1241.27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1239.37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1237.48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1235.59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1233.72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4202.76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382.02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378.21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376.32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374.44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372.57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5658.24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5629.95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5601.80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5573.79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5545.92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5518.19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9596.52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834.48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277.99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26.68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178.83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15.54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15.51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155.64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155.38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154.58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154.33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1844.52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159.32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56.24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4.98</w:t>
            </w: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bookmarkStart w:id="143" w:name="_Toc22735"/>
    <w:bookmarkStart w:id="144" w:name="_Toc27140"/>
    <w:bookmarkStart w:id="145" w:name="_Toc6072"/>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bookmarkEnd w:id="143"/>
      <w:bookmarkEnd w:id="144"/>
      <w:bookmarkEnd w:id="14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324.99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28.16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28.21</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28.26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756.41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366.96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30.90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30.90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30.90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155.42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电网过路费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471.39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41.55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41.34</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41.14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2075.17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86.15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172.48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176.61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176.46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176.95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186.15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2154.60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171.36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325.08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299.88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273.42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245.70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216.72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8511.23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443.66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869.86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844.49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822.33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794.46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765.97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6591.48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364.01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710.38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685.18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658.72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631.00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602.67</w:t>
            </w:r>
          </w:p>
        </w:tc>
      </w:tr>
      <w:bookmarkStart w:id="146" w:name="_Toc32655"/>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1081.41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88.08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91.16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91.21</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91.26</w:t>
            </w:r>
          </w:p>
        </w:tc>
      </w:tr>
    </w:tbl>
    <w:p>
      <w:pPr>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324.99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28.31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28.41</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756.41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366.96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35.45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155.42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电网过路费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471.39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40.73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40.52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40.12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39.92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2075.17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181.49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194.68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4281.47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372.30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2154.60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186.48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154.98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122.22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79.38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52.92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26.46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8511.23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740.27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708.61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675.70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636.97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615.46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593.45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6591.48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572.43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540.93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508.17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439.55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413.09</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1081.41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94.51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97.87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104.99</w:t>
            </w:r>
          </w:p>
        </w:tc>
      </w:tr>
    </w:tbl>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bookmarkStart w:id="147" w:name="_Toc29457"/>
    <w:bookmarkStart w:id="148" w:name="_Toc3902"/>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bookmarkEnd w:id="146"/>
      <w:bookmarkEnd w:id="147"/>
      <w:bookmarkEnd w:id="148"/>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14274.11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1244.75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1245.10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155.89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8511.23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443.66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869.86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844.49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822.33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794.46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765.97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3795.77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307.64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3795.77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307.64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948.94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69.87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76.91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2846.83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188.04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209.61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230.73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11119.93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351.49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520.73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709.37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13966.76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212.90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539.53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730.33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940.10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20.96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23.07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13682.07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351.49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520.73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917.03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13682.07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351.49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520.73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917.03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262.92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526.55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524.14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524.36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10231.84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449.07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898.85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899.88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896.67</w:t>
            </w: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14274.11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1241.27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1239.37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1237.48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1235.59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1233.72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155.64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154.33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8511.23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740.27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708.61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675.70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636.97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615.46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593.45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3795.77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331.71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361.73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393.02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430.14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450.10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470.51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3795.77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331.71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361.73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393.02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430.14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450.10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470.51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948.94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98.26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107.53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117.63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2846.83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248.78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322.60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337.57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352.88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11119.93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917.03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1140.93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1650.39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1940.74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2244.55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13966.76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1165.81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1412.23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1679.87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1973.00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2278.31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2597.43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284.68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13682.07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1140.93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1650.39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1940.74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2244.55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2562.15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13682.07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1140.93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1385.10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1650.39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1940.74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2244.55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2562.15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518.19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516.71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515.24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509.52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496.97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10231.84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890.49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889.01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887.55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881.82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875.32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869.27</w:t>
            </w:r>
          </w:p>
        </w:tc>
      </w:tr>
    </w:tbl>
    <w:p>
      <w:pPr>
        <w:keepNext w:val="false"/>
        <w:keepLines w:val="false"/>
        <w:pageBreakBefore w:val="false"/>
        <w:kinsoku/>
        <w:wordWrap/>
        <w:overflowPunct/>
        <w:topLinePunct w:val="false"/>
        <w:autoSpaceDE/>
        <w:autoSpaceDN/>
        <w:bidi w:val="false"/>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bookmarkStart w:id="149" w:name="_Toc19934"/>
    <w:bookmarkStart w:id="150" w:name="_Toc9642"/>
    <w:bookmarkStart w:id="151" w:name="_Toc9189"/>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bookmarkEnd w:id="149"/>
      <w:bookmarkEnd w:id="150"/>
      <w:bookmarkEnd w:id="151"/>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18605.75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1396.28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1243.89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1244.75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1245.62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1245.10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14274.11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1243.89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1244.75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1245.62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1245.10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775.18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3556.46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12655.38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8785.14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344.19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344.01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348.15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348.43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8613.11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8613.11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2075.17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86.15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172.48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176.46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176.95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78.08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156.08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155.89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5950.37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-7388.86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898.85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899.88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897.48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896.67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-7388.86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-6490.01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-5590.13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-4693.69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-3796.21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-2899.54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2741.43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-7091.04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827.85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795.39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760.42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730.61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700.53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-7091.04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-6263.18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-5467.79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-4707.38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-3976.77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-3276.24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926.05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56.92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69.87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76.91</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5024.32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-7388.86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848.48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842.96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833.76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827.61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819.75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-7388.86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-6540.38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-5697.42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-4863.66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-4036.05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-3216.30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2053.51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-7091.04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781.46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745.08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707.25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673.73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640.44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-7091.04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-6309.57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-5564.50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-4857.25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-4183.52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-3543.08</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1267"/>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8"/>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18605.75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1243.18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1241.27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1239.37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1237.48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1235.59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4790.18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14274.11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1243.18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1241.27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1239.37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1237.48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1235.59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1233.72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3556.46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3556.46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12655.38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352.69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352.25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351.82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355.66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364.45</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8613.11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2075.17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181.49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181.33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181.18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185.28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190.24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194.68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15.49</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15.46</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1788.28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155.64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155.38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155.13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154.88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154.58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154.33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5950.37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890.49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889.01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887.55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881.82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875.32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4425.73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-2009.06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-1120.04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-232.50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649.32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1524.64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5950.37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2741.43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667.66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639.69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612.89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584.39</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580.08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2932.97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-2608.58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-1968.90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-1356.01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-771.62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-191.54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2741.43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926.05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82.93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90.43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98.26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107.53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112.52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117.63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5024.32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807.56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798.58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789.29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774.29</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762.80</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4308.10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-2408.73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-1610.15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-820.86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716.22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5024.32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2053.51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605.48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572.41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545.04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513.13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505.51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2855.02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-2937.60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-2365.18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-1820.15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-1307.02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-801.51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2053.51</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计算指标：</w:t>
            </w:r>
          </w:p>
        </w:tc>
        <w:tc>
          <w:tcPr>
            <w:tcW w:w="1267"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项目投资财务内部收益率（%）（所得税前）</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9.14%</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7.86%</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项目投资财务净现值（所得税前）（ic=4.2%）</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2741.43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2053.51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项目投资回收期（年）（所得税前）</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11.07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11.28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bookmarkStart w:id="152" w:name="_Toc8075"/>
    <w:bookmarkStart w:id="153" w:name="_Toc28353"/>
    <w:bookmarkStart w:id="154" w:name="_Toc21174"/>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bookmarkEnd w:id="152"/>
      <w:bookmarkEnd w:id="153"/>
      <w:bookmarkEnd w:id="154"/>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9141.54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371.36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799.88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823.42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795.70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816.72</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2241.54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171.36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325.08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299.88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273.42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245.70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216.72</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49600.00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5150.00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10231.84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449.07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898.85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899.88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896.44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897.48</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896.67</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9141.54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786.48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804.98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772.22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779.38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752.92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726.46</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2241.54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186.48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122.22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79.38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52.92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26.46</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49600.00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10231.84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890.49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889.01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887.55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881.82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875.32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869.27</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16.54</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32.85</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w:t>
            </w:r>
          </w:p>
        </w:tc>
      </w:tr>
    </w:tbl>
    <w:p>
      <w:pPr>
        <w:rPr>
          <w:rFonts w:hint="eastAsia"/>
          <w:lang w:val="en-US" w:eastAsia="zh-CN"/>
        </w:rPr>
      </w:pP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http://schemas.openxmlformats.org/wordprocessingml/2006/main">
  <w:endnote w:type="continuationSeparator" w:id="1">
    <w:p>
      <w:pPr>
        <w:spacing w:line="240" w:lineRule="auto"/>
        <w:rPr/>
      </w:pPr>
      <w:r>
        <w:rPr/>
        <w:continuationSeparator/>
      </w:r>
    </w:p>
  </w:endnote>
  <w:endnote w:type="separator" w:id="0">
    <w:p>
      <w:pPr>
        <w:spacing w:line="240" w:lineRule="auto"/>
        <w:rPr/>
      </w:pPr>
      <w:r>
        <w:rPr/>
        <w:separator/>
      </w:r>
    </w:p>
  </w:endnote>
</w:endnotes>
</file>

<file path=word/fontTable.xml><?xml version="1.0" encoding="utf-8"?>
<w:fonts xmlns:w="http://schemas.openxmlformats.org/wordprocessingml/2006/main">
  <w:font w:name="黑体">
    <w:panose1 w:val="02010609060101010101"/>
    <w:charset w:val="86" w:characterSet="ISO-8859-1"/>
    <w:family w:val="auto"/>
    <w:pitch w:val="default"/>
    <w:sig w:usb0="800002BF" w:usb1="38CF7CFA" w:usb2="00000016" w:usb3="00000000" w:csb0="00040001" w:csb1="00000000"/>
  </w:font>
  <w:font w:name="Calibri">
    <w:panose1 w:val="020F0502020204030204"/>
    <w:charset w:val="00" w:characterSet="ISO-8859-1"/>
    <w:family w:val="swiss"/>
    <w:pitch w:val="default"/>
    <w:sig w:usb0="E4002EFF" w:usb1="C000247B" w:usb2="00000009" w:usb3="00000000" w:csb0="200001FF" w:csb1="00000000"/>
  </w:font>
  <w:font w:name="Wingdings">
    <w:panose1 w:val="05000000000000000000"/>
    <w:charset w:val="02" w:characterSet="ISO-8859-1"/>
    <w:family w:val="auto"/>
    <w:pitch w:val="default"/>
    <w:sig w:usb0="00000000" w:usb1="00000000" w:usb2="00000000" w:usb3="00000000" w:csb0="80000000" w:csb1="00000000"/>
  </w:font>
  <w:font w:name="Times New Roman">
    <w:panose1 w:val="02020603050405020304"/>
    <w:charset w:val="80" w:characterSet="ISO-8859-1"/>
    <w:family w:val="auto"/>
    <w:pitch w:val="default"/>
    <w:sig w:usb0="E0002EFF" w:usb1="C000785B" w:usb2="00000009" w:usb3="00000000" w:csb0="400001FF" w:csb1="FFFF0000"/>
  </w:font>
  <w:font w:name="Courier New">
    <w:panose1 w:val="02070309020205020404"/>
    <w:charset w:val="01" w:characterSet="ISO-8859-1"/>
    <w:family w:val="modern"/>
    <w:pitch w:val="default"/>
    <w:sig w:usb0="E0002EFF" w:usb1="C0007843" w:usb2="00000009" w:usb3="00000000" w:csb0="400001FF" w:csb1="FFFF0000"/>
  </w:font>
  <w:font w:name="仿宋_GB2312">
    <w:altName w:val="仿宋"/>
    <w:panose1 w:val="02010609030101010101"/>
    <w:charset w:val="86" w:characterSet="ISO-8859-1"/>
    <w:family w:val="modern"/>
    <w:pitch w:val="default"/>
    <w:sig w:usb0="00000000" w:usb1="00000000" w:usb2="00000000" w:usb3="00000000" w:csb0="00040000" w:csb1="00000000"/>
  </w:font>
  <w:font w:name="楷体">
    <w:panose1 w:val="02010609060101010101"/>
    <w:charset w:val="86" w:characterSet="ISO-8859-1"/>
    <w:family w:val="auto"/>
    <w:pitch w:val="default"/>
    <w:sig w:usb0="800002BF" w:usb1="38CF7CFA" w:usb2="0000001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楷体_GB2312">
    <w:altName w:val="楷体"/>
    <w:panose1 w:val="02010609030101010101"/>
    <w:charset w:val="86" w:characterSet="ISO-8859-1"/>
    <w:family w:val="modern"/>
    <w:pitch w:val="default"/>
    <w:sig w:usb0="00000000" w:usb1="00000000" w:usb2="00000000" w:usb3="00000000" w:csb0="00040000" w:csb1="00000000"/>
  </w:font>
  <w:font w:name="仿宋">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宋体">
    <w:panose1 w:val="02010600030101010101"/>
    <w:charset w:val="50" w:characterSet="ISO-8859-1"/>
    <w:family w:val="auto"/>
    <w:pitch w:val="default"/>
    <w:sig w:usb0="00000203" w:usb1="288F0000" w:usb2="00000006" w:usb3="00000000" w:csb0="00040001" w:csb1="0000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0f"/>
      <w:rPr/>
    </w:pPr>
    <w:r>
      <w:rPr>
        <w:sz w:val="18"/>
      </w:rPr>
      <w:drawing>
        <wp:anchor distT="0" distB="0" distL="114300" distR="114300" simplePos="false" relativeHeight="25165926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65" name="文本框 3"/>
          <wp:cNvGraphicFramePr/>
          <a:graphic>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00000f"/>
                        <w:rPr/>
                      </w:pPr>
                      <w:r>
                        <w:rPr/>
                        <w:fldChar w:fldCharType="begin"/>
                      </w:r>
                      <w:r>
                        <w:rPr/>
                        <w:instrText xml:space="preserve"> PAGE  \* MERGEFORMAT </w:instrText>
                      </w:r>
                      <w:r>
                        <w:rPr/>
                        <w:fldChar w:fldCharType="separate"/>
                      </w:r>
                      <w:r>
                        <w:rPr/>
                        <w:t>1</w:t>
                      </w:r>
                      <w:r>
                        <w:rPr/>
                        <w:fldChar w:fldCharType="end"/>
                      </w:r>
                    </w:p>
                  </w:txbxContent>
                </wps:txbx>
                <wps:bodyPr rot="0" spcFirstLastPara="false" vertOverflow="overflow" horzOverflow="overflow" vert="horz" wrap="none" lIns="0" tIns="0" rIns="0" bIns="0" numCol="1" spcCol="0" rtlCol="false" fromWordArt="false" anchor="t" anchorCtr="false" forceAA="false" upright="false" compatLnSpc="true">
                  <a:spAutoFit/>
                </wps:bodyPr>
              </wps:wsp>
            </a:graphicData>
          </a:graphic>
        </wp:anchor>
      </w:drawing>
    </w:r>
  </w:p>
</w:ftr>
</file>

<file path=word/footnotes.xml><?xml version="1.0" encoding="utf-8"?>
<w:footnotes xmlns:w="http://schemas.openxmlformats.org/wordprocessingml/2006/main">
  <w:footnote w:type="continuationSeparator" w:id="1">
    <w:p>
      <w:pPr>
        <w:spacing w:line="240" w:lineRule="auto"/>
        <w:rPr/>
      </w:pPr>
      <w:r>
        <w:rPr/>
        <w:continuationSeparator/>
      </w:r>
    </w:p>
  </w:footnote>
  <w:footnote w:type="separator" w:id="0">
    <w:p>
      <w:pPr>
        <w:spacing w:line="240" w:lineRule="auto"/>
        <w:rPr/>
      </w:pPr>
      <w:r>
        <w:rPr/>
        <w:separator/>
      </w:r>
    </w:p>
  </w:footnote>
</w:footnote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4"/>
  </w:compat>
  <w:docVars>
    <w:docVar w:name="commondata" w:val="eyJoZGlkIjoiNTcyYjdlYzJmZmM5MjgxM2FiMTg0MDhiYjQ1ZTA2N2YifQ=="/>
    <w:docVar w:name="KSO_WPS_MARK_KEY" w:val="74114926-c3c3-48e1-ab3c-148467b7437e"/>
  </w:docVars>
  <w:rsids>
    <w:rsidRoot w:val="00000000"/>
    <w:rsid w:val="00000871"/>
    <w:rsid w:val="00276E33"/>
    <w:rsid w:val="003A6B66"/>
    <w:rsid w:val="00AA3CEC"/>
    <w:rsid w:val="00F00AF2"/>
    <w:rsid w:val="00F86A1F"/>
    <w:rsid w:val="00FF56BA"/>
    <w:rsid w:val="011854D6"/>
    <w:rsid w:val="01233A9E"/>
    <w:rsid w:val="01590227"/>
    <w:rsid w:val="017405AF"/>
    <w:rsid w:val="01A2719B"/>
    <w:rsid w:val="02785724"/>
    <w:rsid w:val="028125AD"/>
    <w:rsid w:val="030E5A2F"/>
    <w:rsid w:val="03766107"/>
    <w:rsid w:val="03B31109"/>
    <w:rsid w:val="03EF5EB9"/>
    <w:rsid w:val="047B1719"/>
    <w:rsid w:val="049F51EA"/>
    <w:rsid w:val="053E00D1"/>
    <w:rsid w:val="058F1702"/>
    <w:rsid w:val="05A87C8C"/>
    <w:rsid w:val="05AD007F"/>
    <w:rsid w:val="05D666A6"/>
    <w:rsid w:val="05EB4D05"/>
    <w:rsid w:val="0622270A"/>
    <w:rsid w:val="066E1317"/>
    <w:rsid w:val="072D2F81"/>
    <w:rsid w:val="07612484"/>
    <w:rsid w:val="08017F69"/>
    <w:rsid w:val="089B216C"/>
    <w:rsid w:val="08A234FA"/>
    <w:rsid w:val="08AA23AF"/>
    <w:rsid w:val="08B31F1F"/>
    <w:rsid w:val="09104908"/>
    <w:rsid w:val="093920B1"/>
    <w:rsid w:val="093F0D49"/>
    <w:rsid w:val="099F4BAF"/>
    <w:rsid w:val="09E85885"/>
    <w:rsid w:val="0A5F5B47"/>
    <w:rsid w:val="0A882AFE"/>
    <w:rsid w:val="0ACA55BE"/>
    <w:rsid w:val="0B3643CE"/>
    <w:rsid w:val="0C1F6495"/>
    <w:rsid w:val="0CA710DF"/>
    <w:rsid w:val="0CFB142B"/>
    <w:rsid w:val="0DFF01A7"/>
    <w:rsid w:val="0E0F5966"/>
    <w:rsid w:val="0E2A765C"/>
    <w:rsid w:val="0E325320"/>
    <w:rsid w:val="0E7771D7"/>
    <w:rsid w:val="0EF40828"/>
    <w:rsid w:val="0F38025F"/>
    <w:rsid w:val="0F9E1CEC"/>
    <w:rsid w:val="10262C63"/>
    <w:rsid w:val="113D0264"/>
    <w:rsid w:val="11D861DF"/>
    <w:rsid w:val="11DD2029"/>
    <w:rsid w:val="11ED4408"/>
    <w:rsid w:val="121A05A5"/>
    <w:rsid w:val="130D1EB8"/>
    <w:rsid w:val="132F795F"/>
    <w:rsid w:val="133728C5"/>
    <w:rsid w:val="13707696"/>
    <w:rsid w:val="137B4E47"/>
    <w:rsid w:val="13F319E8"/>
    <w:rsid w:val="13FB7F63"/>
    <w:rsid w:val="144933C4"/>
    <w:rsid w:val="14A32263"/>
    <w:rsid w:val="14AA20B4"/>
    <w:rsid w:val="151E7BE7"/>
    <w:rsid w:val="155B515D"/>
    <w:rsid w:val="15747FCD"/>
    <w:rsid w:val="15D45137"/>
    <w:rsid w:val="163836F0"/>
    <w:rsid w:val="163D0D06"/>
    <w:rsid w:val="16534086"/>
    <w:rsid w:val="16574965"/>
    <w:rsid w:val="166B68BC"/>
    <w:rsid w:val="166C09FE"/>
    <w:rsid w:val="16897AA8"/>
    <w:rsid w:val="170535D2"/>
    <w:rsid w:val="17C04584"/>
    <w:rsid w:val="17D95B0F"/>
    <w:rsid w:val="18123EA2"/>
    <w:rsid w:val="18846779"/>
    <w:rsid w:val="1A156DAE"/>
    <w:rsid w:val="1A1846E1"/>
    <w:rsid w:val="1A424B3D"/>
    <w:rsid w:val="1A452F93"/>
    <w:rsid w:val="1A705206"/>
    <w:rsid w:val="1A8707A2"/>
    <w:rsid w:val="1A9315F3"/>
    <w:rsid w:val="1ACD08AB"/>
    <w:rsid w:val="1B1A33C4"/>
    <w:rsid w:val="1B6A5707"/>
    <w:rsid w:val="1B7A0CC2"/>
    <w:rsid w:val="1BBF5DF0"/>
    <w:rsid w:val="1BEA2D97"/>
    <w:rsid w:val="1BEB1F58"/>
    <w:rsid w:val="1C817B9F"/>
    <w:rsid w:val="1CE95744"/>
    <w:rsid w:val="1D531DAF"/>
    <w:rsid w:val="1E1E766F"/>
    <w:rsid w:val="1E9E4585"/>
    <w:rsid w:val="1EC41FC5"/>
    <w:rsid w:val="1EF205A4"/>
    <w:rsid w:val="1F026649"/>
    <w:rsid w:val="1F0C3210"/>
    <w:rsid w:val="1F4871EC"/>
    <w:rsid w:val="1FB5190D"/>
    <w:rsid w:val="201C7BDE"/>
    <w:rsid w:val="204719C1"/>
    <w:rsid w:val="206C2DC3"/>
    <w:rsid w:val="213F0657"/>
    <w:rsid w:val="217512E3"/>
    <w:rsid w:val="226338A3"/>
    <w:rsid w:val="23A14683"/>
    <w:rsid w:val="23BE3486"/>
    <w:rsid w:val="23D56D8B"/>
    <w:rsid w:val="23DB7500"/>
    <w:rsid w:val="244905A6"/>
    <w:rsid w:val="24977834"/>
    <w:rsid w:val="24A26904"/>
    <w:rsid w:val="24BC729A"/>
    <w:rsid w:val="24EE4B38"/>
    <w:rsid w:val="24F06F8E"/>
    <w:rsid w:val="25381095"/>
    <w:rsid w:val="253B4663"/>
    <w:rsid w:val="25542B36"/>
    <w:rsid w:val="259605E0"/>
    <w:rsid w:val="26235823"/>
    <w:rsid w:val="26377520"/>
    <w:rsid w:val="269C55D5"/>
    <w:rsid w:val="269F1099"/>
    <w:rsid w:val="279278A0"/>
    <w:rsid w:val="280451E0"/>
    <w:rsid w:val="2838132E"/>
    <w:rsid w:val="283F16DD"/>
    <w:rsid w:val="284D7A15"/>
    <w:rsid w:val="28C8445F"/>
    <w:rsid w:val="28DE0127"/>
    <w:rsid w:val="295220ED"/>
    <w:rsid w:val="29AD2DF9"/>
    <w:rsid w:val="29E4176D"/>
    <w:rsid w:val="2A0E0598"/>
    <w:rsid w:val="2A4C284B"/>
    <w:rsid w:val="2A9F5694"/>
    <w:rsid w:val="2B202325"/>
    <w:rsid w:val="2B6C37C8"/>
    <w:rsid w:val="2B844FB6"/>
    <w:rsid w:val="2BFD08C4"/>
    <w:rsid w:val="2C4C35F9"/>
    <w:rsid w:val="2C525485"/>
    <w:rsid w:val="2C680433"/>
    <w:rsid w:val="2CA60F5C"/>
    <w:rsid w:val="2CDF7FCA"/>
    <w:rsid w:val="2D664671"/>
    <w:rsid w:val="2D7A1670"/>
    <w:rsid w:val="2D990F72"/>
    <w:rsid w:val="2E320542"/>
    <w:rsid w:val="2F8E3583"/>
    <w:rsid w:val="2FFD2D9D"/>
    <w:rsid w:val="303932A5"/>
    <w:rsid w:val="30444D13"/>
    <w:rsid w:val="31644EEA"/>
    <w:rsid w:val="317732C2"/>
    <w:rsid w:val="3246740A"/>
    <w:rsid w:val="32827D75"/>
    <w:rsid w:val="328C4750"/>
    <w:rsid w:val="32B515DD"/>
    <w:rsid w:val="33071375"/>
    <w:rsid w:val="33185FE3"/>
    <w:rsid w:val="3337290D"/>
    <w:rsid w:val="346F60D7"/>
    <w:rsid w:val="34931537"/>
    <w:rsid w:val="34AB04B7"/>
    <w:rsid w:val="35260DFF"/>
    <w:rsid w:val="35E06B6A"/>
    <w:rsid w:val="35F26FC0"/>
    <w:rsid w:val="369E5C39"/>
    <w:rsid w:val="36FD79CA"/>
    <w:rsid w:val="37737C8C"/>
    <w:rsid w:val="37C52BDE"/>
    <w:rsid w:val="37DE7398"/>
    <w:rsid w:val="383C09C6"/>
    <w:rsid w:val="384C5A92"/>
    <w:rsid w:val="38696D18"/>
    <w:rsid w:val="386E0C42"/>
    <w:rsid w:val="38D570C3"/>
    <w:rsid w:val="38ED4133"/>
    <w:rsid w:val="394C4C39"/>
    <w:rsid w:val="3960579A"/>
    <w:rsid w:val="397F0B6A"/>
    <w:rsid w:val="39E21E54"/>
    <w:rsid w:val="3A993EAE"/>
    <w:rsid w:val="3B922EDF"/>
    <w:rsid w:val="3BA526F6"/>
    <w:rsid w:val="3BEC0297"/>
    <w:rsid w:val="3C027033"/>
    <w:rsid w:val="3C8446EA"/>
    <w:rsid w:val="3D0F66A9"/>
    <w:rsid w:val="3D8F1598"/>
    <w:rsid w:val="3DC01751"/>
    <w:rsid w:val="3DF80EEB"/>
    <w:rsid w:val="3F185CE9"/>
    <w:rsid w:val="3F565EE8"/>
    <w:rsid w:val="3F8418F6"/>
    <w:rsid w:val="3FA94B93"/>
    <w:rsid w:val="3FE73128"/>
    <w:rsid w:val="400E49F6"/>
    <w:rsid w:val="409A6AE6"/>
    <w:rsid w:val="40F97472"/>
    <w:rsid w:val="41061B71"/>
    <w:rsid w:val="41475031"/>
    <w:rsid w:val="415832F8"/>
    <w:rsid w:val="419E1093"/>
    <w:rsid w:val="41C2018E"/>
    <w:rsid w:val="41D852BC"/>
    <w:rsid w:val="41ED05C6"/>
    <w:rsid w:val="42312C1E"/>
    <w:rsid w:val="42894808"/>
    <w:rsid w:val="42A9218F"/>
    <w:rsid w:val="42AF56AF"/>
    <w:rsid w:val="4352404F"/>
    <w:rsid w:val="43B62A59"/>
    <w:rsid w:val="43B753A5"/>
    <w:rsid w:val="43DD111E"/>
    <w:rsid w:val="449F0313"/>
    <w:rsid w:val="453749EF"/>
    <w:rsid w:val="4545387C"/>
    <w:rsid w:val="45B24076"/>
    <w:rsid w:val="45BB22F1"/>
    <w:rsid w:val="462C66C9"/>
    <w:rsid w:val="465F41FD"/>
    <w:rsid w:val="474E2E70"/>
    <w:rsid w:val="47A5361A"/>
    <w:rsid w:val="47E946A7"/>
    <w:rsid w:val="47FE76D1"/>
    <w:rsid w:val="4805359A"/>
    <w:rsid w:val="48757D08"/>
    <w:rsid w:val="48833275"/>
    <w:rsid w:val="48D12A65"/>
    <w:rsid w:val="4965742B"/>
    <w:rsid w:val="49CE4465"/>
    <w:rsid w:val="4A196CF5"/>
    <w:rsid w:val="4A431740"/>
    <w:rsid w:val="4BAA3732"/>
    <w:rsid w:val="4C5D5CF6"/>
    <w:rsid w:val="4CBE2E20"/>
    <w:rsid w:val="4CFE5C0C"/>
    <w:rsid w:val="4D325C6C"/>
    <w:rsid w:val="4D8600A4"/>
    <w:rsid w:val="4D8C4B13"/>
    <w:rsid w:val="4D930C30"/>
    <w:rsid w:val="4DA47DE9"/>
    <w:rsid w:val="4E0F02B7"/>
    <w:rsid w:val="4F691C49"/>
    <w:rsid w:val="4F812059"/>
    <w:rsid w:val="4F983C1B"/>
    <w:rsid w:val="4FA709C3"/>
    <w:rsid w:val="4FAC3EAB"/>
    <w:rsid w:val="50007ACD"/>
    <w:rsid w:val="500B41B1"/>
    <w:rsid w:val="50240068"/>
    <w:rsid w:val="50252D29"/>
    <w:rsid w:val="503F0996"/>
    <w:rsid w:val="50515E4B"/>
    <w:rsid w:val="50FE76EC"/>
    <w:rsid w:val="51165913"/>
    <w:rsid w:val="5118277B"/>
    <w:rsid w:val="513A1AEF"/>
    <w:rsid w:val="514E559A"/>
    <w:rsid w:val="51791EEB"/>
    <w:rsid w:val="519C6BF2"/>
    <w:rsid w:val="52342D13"/>
    <w:rsid w:val="523D0814"/>
    <w:rsid w:val="52642B9B"/>
    <w:rsid w:val="53D855EF"/>
    <w:rsid w:val="541C0185"/>
    <w:rsid w:val="543C3357"/>
    <w:rsid w:val="546D5D37"/>
    <w:rsid w:val="547A7D75"/>
    <w:rsid w:val="54C47921"/>
    <w:rsid w:val="54DE7D82"/>
    <w:rsid w:val="560650D6"/>
    <w:rsid w:val="560A5808"/>
    <w:rsid w:val="56443BC7"/>
    <w:rsid w:val="577477EE"/>
    <w:rsid w:val="57A91349"/>
    <w:rsid w:val="57CC7219"/>
    <w:rsid w:val="5A6E45B7"/>
    <w:rsid w:val="5AA1498D"/>
    <w:rsid w:val="5AE54EDC"/>
    <w:rsid w:val="5B6D486F"/>
    <w:rsid w:val="5B932866"/>
    <w:rsid w:val="5BCA7F13"/>
    <w:rsid w:val="5C1F54B9"/>
    <w:rsid w:val="5C6E089F"/>
    <w:rsid w:val="5CBB0025"/>
    <w:rsid w:val="5CEF46C8"/>
    <w:rsid w:val="5D0255A9"/>
    <w:rsid w:val="5D215911"/>
    <w:rsid w:val="5D982B15"/>
    <w:rsid w:val="5DD82F19"/>
    <w:rsid w:val="5E155921"/>
    <w:rsid w:val="5E4D0988"/>
    <w:rsid w:val="5E6F6B50"/>
    <w:rsid w:val="5E816FDD"/>
    <w:rsid w:val="5E987E55"/>
    <w:rsid w:val="5EBA4D17"/>
    <w:rsid w:val="5EDE1337"/>
    <w:rsid w:val="5F222469"/>
    <w:rsid w:val="5F357D99"/>
    <w:rsid w:val="5F6D46B6"/>
    <w:rsid w:val="5F93686E"/>
    <w:rsid w:val="5F994316"/>
    <w:rsid w:val="5FA30C8D"/>
    <w:rsid w:val="5FEF0574"/>
    <w:rsid w:val="5FFC716E"/>
    <w:rsid w:val="600960BD"/>
    <w:rsid w:val="600E201D"/>
    <w:rsid w:val="60591866"/>
    <w:rsid w:val="605F052B"/>
    <w:rsid w:val="61313E32"/>
    <w:rsid w:val="613A51F3"/>
    <w:rsid w:val="61655E91"/>
    <w:rsid w:val="618B5A4F"/>
    <w:rsid w:val="61DD02D7"/>
    <w:rsid w:val="631A2B9C"/>
    <w:rsid w:val="632F68AE"/>
    <w:rsid w:val="639037F0"/>
    <w:rsid w:val="63A64DC2"/>
    <w:rsid w:val="63AF7503"/>
    <w:rsid w:val="64882719"/>
    <w:rsid w:val="64A01811"/>
    <w:rsid w:val="64E831B8"/>
    <w:rsid w:val="651E6BDA"/>
    <w:rsid w:val="65702D9F"/>
    <w:rsid w:val="65921AA2"/>
    <w:rsid w:val="65D75707"/>
    <w:rsid w:val="6618187B"/>
    <w:rsid w:val="661F0E5C"/>
    <w:rsid w:val="66456B14"/>
    <w:rsid w:val="66C11F13"/>
    <w:rsid w:val="67391614"/>
    <w:rsid w:val="67E704B4"/>
    <w:rsid w:val="68127258"/>
    <w:rsid w:val="68A70650"/>
    <w:rsid w:val="696077C1"/>
    <w:rsid w:val="699F76FF"/>
    <w:rsid w:val="69CE6E20"/>
    <w:rsid w:val="6B364C7D"/>
    <w:rsid w:val="6B3D4C00"/>
    <w:rsid w:val="6B9419A4"/>
    <w:rsid w:val="6BC77FCB"/>
    <w:rsid w:val="6BE41585"/>
    <w:rsid w:val="6C1256EA"/>
    <w:rsid w:val="6C1476AE"/>
    <w:rsid w:val="6C3A254B"/>
    <w:rsid w:val="6CAB169B"/>
    <w:rsid w:val="6D050DAB"/>
    <w:rsid w:val="6D46375B"/>
    <w:rsid w:val="6D967C55"/>
    <w:rsid w:val="6DAA54AF"/>
    <w:rsid w:val="6DC413FE"/>
    <w:rsid w:val="6E076D69"/>
    <w:rsid w:val="6E62222D"/>
    <w:rsid w:val="6E89242D"/>
    <w:rsid w:val="6EE449F0"/>
    <w:rsid w:val="6F253543"/>
    <w:rsid w:val="6F926B42"/>
    <w:rsid w:val="6FDE4B71"/>
    <w:rsid w:val="710769A7"/>
    <w:rsid w:val="71B66B18"/>
    <w:rsid w:val="72604CD6"/>
    <w:rsid w:val="72DF5BFA"/>
    <w:rsid w:val="72F62F44"/>
    <w:rsid w:val="7304539B"/>
    <w:rsid w:val="735544D4"/>
    <w:rsid w:val="735E3EDB"/>
    <w:rsid w:val="73B74C9B"/>
    <w:rsid w:val="73D239B1"/>
    <w:rsid w:val="73D2750D"/>
    <w:rsid w:val="73E84818"/>
    <w:rsid w:val="741A77EC"/>
    <w:rsid w:val="742D4BB0"/>
    <w:rsid w:val="744523D5"/>
    <w:rsid w:val="745B7503"/>
    <w:rsid w:val="74A907A6"/>
    <w:rsid w:val="74AE1682"/>
    <w:rsid w:val="74B17A6A"/>
    <w:rsid w:val="752C70F1"/>
    <w:rsid w:val="7548217D"/>
    <w:rsid w:val="75846F2D"/>
    <w:rsid w:val="75BC66C7"/>
    <w:rsid w:val="76034BED"/>
    <w:rsid w:val="76B4114C"/>
    <w:rsid w:val="774553A6"/>
    <w:rsid w:val="776F591B"/>
    <w:rsid w:val="77B24750"/>
    <w:rsid w:val="77D01FB6"/>
    <w:rsid w:val="78484242"/>
    <w:rsid w:val="7872306D"/>
    <w:rsid w:val="78E55401"/>
    <w:rsid w:val="78F41CD4"/>
    <w:rsid w:val="79E20842"/>
    <w:rsid w:val="79F00974"/>
    <w:rsid w:val="79FC7092"/>
    <w:rsid w:val="7A2E133F"/>
    <w:rsid w:val="7A682979"/>
    <w:rsid w:val="7B66217C"/>
    <w:rsid w:val="7B762E74"/>
    <w:rsid w:val="7BDA1655"/>
    <w:rsid w:val="7BF344C5"/>
    <w:rsid w:val="7BFD5343"/>
    <w:rsid w:val="7C1D1542"/>
    <w:rsid w:val="7C6815AF"/>
    <w:rsid w:val="7CD460A4"/>
    <w:rsid w:val="7CDB5685"/>
    <w:rsid w:val="7D237AA8"/>
    <w:rsid w:val="7DD547CA"/>
    <w:rsid w:val="7DF05680"/>
    <w:rsid w:val="7E3B648D"/>
    <w:rsid w:val="7E67175F"/>
    <w:rsid w:val="7EE12CFA"/>
    <w:rsid w:val="7F3472CE"/>
    <w:rsid w:val="7F5434CC"/>
    <w:rsid w:val="7F71399A"/>
    <w:rsid w:val="7F7E1C1E"/>
    <w:rsid w:val="7FB6418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pPr/>
    </w:pPrDefault>
  </w:docDefaults>
  <w:latentStyles w:defLockedState="false" w:defUIPriority="99" w:defSemiHidden="true" w:defUnhideWhenUsed="true" w:defQFormat="false" w:count="260">
    <w:lsdException w:name="Light List Accent 2" w:uiPriority="61" w:semiHidden="false" w:unhideWhenUsed="false"/>
    <w:lsdException w:name="HTML Keyboard" w:uiPriority="0" w:semiHidden="false" w:unhideWhenUsed="false"/>
    <w:lsdException w:name="heading 2" w:uiPriority="9" w:semiHidden="false" w:unhideWhenUsed="false" w:qFormat="true"/>
    <w:lsdException w:name="Light List" w:uiPriority="61" w:semiHidden="false" w:unhideWhenUsed="false"/>
    <w:lsdException w:name="Light Shading Accent 2" w:uiPriority="60" w:semiHidden="false" w:unhideWhenUsed="false"/>
    <w:lsdException w:name="Table Grid" w:uiPriority="39" w:semiHidden="false" w:unhideWhenUsed="false" w:qFormat="true"/>
    <w:lsdException w:name="heading 8" w:uiPriority="0" w:qFormat="true"/>
    <w:lsdException w:name="Table Contemporary" w:uiPriority="0" w:semiHidden="false" w:unhideWhenUsed="false"/>
    <w:lsdException w:name="Medium Grid 1 Accent 5" w:uiPriority="67" w:semiHidden="false" w:unhideWhenUsed="false"/>
    <w:lsdException w:name="index heading" w:uiPriority="0" w:semiHidden="false" w:unhideWhenUsed="false"/>
    <w:lsdException w:name="Medium Shading 1 Accent 1" w:uiPriority="63" w:semiHidden="false" w:unhideWhenUsed="false"/>
    <w:lsdException w:name="Medium Shading 1 Accent 4" w:uiPriority="63" w:semiHidden="false" w:unhideWhenUsed="false"/>
    <w:lsdException w:name="Table Elegant" w:uiPriority="0" w:semiHidden="false" w:unhideWhenUsed="false"/>
    <w:lsdException w:name="toc 9" w:uiPriority="0" w:semiHidden="false" w:unhideWhenUsed="false"/>
    <w:lsdException w:name="Colorful Shading Accent 5" w:uiPriority="71" w:semiHidden="false" w:unhideWhenUsed="false"/>
    <w:lsdException w:name="List Bullet" w:uiPriority="0" w:semiHidden="false" w:unhideWhenUsed="false"/>
    <w:lsdException w:name="Colorful Shading" w:uiPriority="71" w:semiHidden="false" w:unhideWhenUsed="false"/>
    <w:lsdException w:name="Table Grid 1" w:uiPriority="0" w:semiHidden="false" w:unhideWhenUsed="false"/>
    <w:lsdException w:name="Light Shading Accent 3" w:uiPriority="60" w:semiHidden="false" w:unhideWhenUsed="false"/>
    <w:lsdException w:name="table of authorities" w:uiPriority="0" w:semiHidden="false" w:unhideWhenUsed="false"/>
    <w:lsdException w:name="Medium Grid 2 Accent 6" w:uiPriority="68" w:semiHidden="false" w:unhideWhenUsed="false"/>
    <w:lsdException w:name="toc 8" w:uiPriority="0" w:semiHidden="false" w:unhideWhenUsed="false"/>
    <w:lsdException w:name="Colorful Grid Accent 5" w:uiPriority="73" w:semiHidden="false" w:unhideWhenUsed="false"/>
    <w:lsdException w:name="Table Theme" w:uiPriority="0" w:semiHidden="false" w:unhideWhenUsed="false"/>
    <w:lsdException w:name="Table Subtle 2" w:uiPriority="0" w:semiHidden="false" w:unhideWhenUsed="false"/>
    <w:lsdException w:name="Table 3D effects 2" w:uiPriority="0" w:semiHidden="false" w:unhideWhenUsed="false"/>
    <w:lsdException w:name="heading 9" w:uiPriority="0" w:qFormat="true"/>
    <w:lsdException w:name="Body Text First Indent" w:uiPriority="0" w:semiHidden="false" w:unhideWhenUsed="false"/>
    <w:lsdException w:name="Colorful List Accent 6" w:uiPriority="72" w:semiHidden="false" w:unhideWhenUsed="false"/>
    <w:lsdException w:name="List Continue" w:uiPriority="0" w:semiHidden="false" w:unhideWhenUsed="false"/>
    <w:lsdException w:name="Colorful Grid Accent 1" w:uiPriority="73" w:semiHidden="false" w:unhideWhenUsed="false"/>
    <w:lsdException w:name="Table Web 3" w:uiPriority="0" w:semiHidden="false" w:unhideWhenUsed="false"/>
    <w:lsdException w:name="Subtitle" w:uiPriority="0" w:semiHidden="false" w:unhideWhenUsed="false" w:qFormat="true"/>
    <w:lsdException w:name="List" w:uiPriority="0" w:semiHidden="false" w:unhideWhenUsed="false"/>
    <w:lsdException w:name="Light Grid" w:uiPriority="62" w:semiHidden="false" w:unhideWhenUsed="false"/>
    <w:lsdException w:name="Medium Shading 2 Accent 5" w:uiPriority="64" w:semiHidden="false" w:unhideWhenUsed="false"/>
    <w:lsdException w:name="List Bullet 4" w:uiPriority="0" w:semiHidden="false" w:unhideWhenUsed="false"/>
    <w:lsdException w:name="List 4" w:uiPriority="0" w:semiHidden="false" w:unhideWhenUsed="false"/>
    <w:lsdException w:name="List Continue 4" w:uiPriority="0" w:semiHidden="false" w:unhideWhenUsed="false"/>
    <w:lsdException w:name="footnote reference" w:uiPriority="0" w:semiHidden="false" w:unhideWhenUsed="false"/>
    <w:lsdException w:name="Table Grid 6" w:uiPriority="0" w:semiHidden="false" w:unhideWhenUsed="false"/>
    <w:lsdException w:name="List 3" w:uiPriority="0" w:semiHidden="false" w:unhideWhenUsed="false"/>
    <w:lsdException w:name="Medium List 2 Accent 2" w:uiPriority="66" w:semiHidden="false" w:unhideWhenUsed="false"/>
    <w:lsdException w:name="Colorful Grid Accent 2" w:uiPriority="73" w:semiHidden="false" w:unhideWhenUsed="false"/>
    <w:lsdException w:name="Light Grid Accent 5" w:uiPriority="62" w:semiHidden="false" w:unhideWhenUsed="false"/>
    <w:lsdException w:name="Table List 5" w:uiPriority="0" w:semiHidden="false" w:unhideWhenUsed="false"/>
    <w:lsdException w:name="FollowedHyperlink" w:uiPriority="0" w:semiHidden="false" w:unhideWhenUsed="false"/>
    <w:lsdException w:name="Table List 8" w:uiPriority="0" w:semiHidden="false" w:unhideWhenUsed="false"/>
    <w:lsdException w:name="Medium Shading 1 Accent 2" w:uiPriority="63" w:semiHidden="false" w:unhideWhenUsed="false"/>
    <w:lsdException w:name="List Bullet 5" w:uiPriority="0" w:semiHidden="false" w:unhideWhenUsed="false"/>
    <w:lsdException w:name="List Number" w:uiPriority="0" w:semiHidden="false" w:unhideWhenUsed="false"/>
    <w:lsdException w:name="Table List 4" w:uiPriority="0" w:semiHidden="false" w:unhideWhenUsed="false"/>
    <w:lsdException w:name="Light List Accent 5" w:uiPriority="61" w:semiHidden="false" w:unhideWhenUsed="false"/>
    <w:lsdException w:name="line number" w:uiPriority="0" w:semiHidden="false" w:unhideWhenUsed="false"/>
    <w:lsdException w:name="Colorful Shading Accent 4" w:uiPriority="71" w:semiHidden="false" w:unhideWhenUsed="false"/>
    <w:lsdException w:name="Light Grid Accent 1" w:uiPriority="62" w:semiHidden="false" w:unhideWhenUsed="false"/>
    <w:lsdException w:name="heading 3" w:uiPriority="9" w:semiHidden="false" w:unhideWhenUsed="false" w:qFormat="true"/>
    <w:lsdException w:name="Medium List 2 Accent 4" w:uiPriority="66" w:semiHidden="false" w:unhideWhenUsed="false"/>
    <w:lsdException w:name="Document Map" w:uiPriority="0" w:semiHidden="false" w:unhideWhenUsed="false"/>
    <w:lsdException w:name="endnote reference" w:uiPriority="0" w:semiHidden="false" w:unhideWhenUsed="false"/>
    <w:lsdException w:name="Colorful List Accent 3" w:uiPriority="72" w:semiHidden="false" w:unhideWhenUsed="false"/>
    <w:lsdException w:name="Table Simple 3" w:uiPriority="0" w:semiHidden="false" w:unhideWhenUsed="false"/>
    <w:lsdException w:name="Dark List Accent 6" w:uiPriority="70" w:semiHidden="false" w:unhideWhenUsed="false"/>
    <w:lsdException w:name="envelope address" w:uiPriority="0" w:semiHidden="false" w:unhideWhenUsed="false"/>
    <w:lsdException w:name="List Bullet 2" w:uiPriority="0" w:semiHidden="false" w:unhideWhenUsed="false"/>
    <w:lsdException w:name="List Number 5" w:uiPriority="0" w:semiHidden="false" w:unhideWhenUsed="false"/>
    <w:lsdException w:name="HTML Address" w:uiPriority="0" w:semiHidden="false" w:unhideWhenUsed="false"/>
    <w:lsdException w:name="Dark List Accent 4" w:uiPriority="70" w:semiHidden="false" w:unhideWhenUsed="false"/>
    <w:lsdException w:name="Default Paragraph Font" w:uiPriority="1" w:semiHidden="false" w:unhideWhenUsed="false" w:qFormat="true"/>
    <w:lsdException w:name="Medium Grid 2 Accent 2" w:uiPriority="68" w:semiHidden="false" w:unhideWhenUsed="false"/>
    <w:lsdException w:name="Medium Shading 1" w:uiPriority="63" w:semiHidden="false" w:unhideWhenUsed="false"/>
    <w:lsdException w:name="page number" w:uiPriority="0" w:semiHidden="false" w:unhideWhenUsed="false"/>
    <w:lsdException w:name="Medium Shading 2 Accent 6" w:uiPriority="64" w:semiHidden="false" w:unhideWhenUsed="false"/>
    <w:lsdException w:name="Normal (Web)" w:uiPriority="99" w:semiHidden="false" w:unhideWhenUsed="false" w:qFormat="true"/>
    <w:lsdException w:name="Note Heading" w:uiPriority="0" w:semiHidden="false" w:unhideWhenUsed="false"/>
    <w:lsdException w:name="HTML Code" w:uiPriority="0" w:semiHidden="false" w:unhideWhenUsed="false"/>
    <w:lsdException w:name="Table Columns 1" w:uiPriority="0" w:semiHidden="false" w:unhideWhenUsed="false"/>
    <w:lsdException w:name="index 2" w:uiPriority="0" w:semiHidden="false" w:unhideWhenUsed="false"/>
    <w:lsdException w:name="annotation subject" w:uiPriority="0" w:semiHidden="false" w:unhideWhenUsed="false"/>
    <w:lsdException w:name="Medium Grid 1 Accent 3" w:uiPriority="67" w:semiHidden="false" w:unhideWhenUsed="false"/>
    <w:lsdException w:name="Hyperlink" w:uiPriority="99" w:semiHidden="false" w:unhideWhenUsed="false" w:qFormat="true"/>
    <w:lsdException w:name="Medium List 1" w:uiPriority="65" w:semiHidden="false" w:unhideWhenUsed="false"/>
    <w:lsdException w:name="Medium Grid 1 Accent 4" w:uiPriority="67" w:semiHidden="false" w:unhideWhenUsed="false"/>
    <w:lsdException w:name="Medium Grid 2 Accent 5" w:uiPriority="68" w:semiHidden="false" w:unhideWhenUsed="false"/>
    <w:lsdException w:name="Light List Accent 6" w:uiPriority="61" w:semiHidden="false" w:unhideWhenUsed="false"/>
    <w:lsdException w:name="Colorful List Accent 5" w:uiPriority="72" w:semiHidden="false" w:unhideWhenUsed="false"/>
    <w:lsdException w:name="Medium List 2 Accent 1" w:uiPriority="66" w:semiHidden="false" w:unhideWhenUsed="false"/>
    <w:lsdException w:name="toa heading" w:uiPriority="0" w:semiHidden="false" w:unhideWhenUsed="false"/>
    <w:lsdException w:name="Medium Grid 1 Accent 1" w:uiPriority="67" w:semiHidden="false" w:unhideWhenUsed="false"/>
    <w:lsdException w:name="List Continue 5" w:uiPriority="0" w:semiHidden="false" w:unhideWhenUsed="false"/>
    <w:lsdException w:name="Medium Grid 3 Accent 5" w:uiPriority="69" w:semiHidden="false" w:unhideWhenUsed="false"/>
    <w:lsdException w:name="List Paragraph" w:uiPriority="1" w:semiHidden="false" w:unhideWhenUsed="false" w:qFormat="true"/>
    <w:lsdException w:name="table of figures" w:uiPriority="0" w:semiHidden="false" w:unhideWhenUsed="false"/>
    <w:lsdException w:name="HTML Preformatted" w:uiPriority="0" w:semiHidden="false" w:unhideWhenUsed="false"/>
    <w:lsdException w:name="Medium Grid 3 Accent 6" w:uiPriority="69" w:semiHidden="false" w:unhideWhenUsed="false"/>
    <w:lsdException w:name="Table List 2" w:uiPriority="0" w:semiHidden="false" w:unhideWhenUsed="false"/>
    <w:lsdException w:name="List 2" w:uiPriority="0" w:semiHidden="false" w:unhideWhenUsed="false"/>
    <w:lsdException w:name="index 6" w:uiPriority="0" w:semiHidden="false" w:unhideWhenUsed="false"/>
    <w:lsdException w:name="Emphasis" w:uiPriority="0" w:semiHidden="false" w:unhideWhenUsed="false" w:qFormat="true"/>
    <w:lsdException w:name="Dark List" w:uiPriority="70" w:semiHidden="false" w:unhideWhenUsed="false"/>
    <w:lsdException w:name="Table Grid 3" w:uiPriority="0" w:semiHidden="false" w:unhideWhenUsed="false"/>
    <w:lsdException w:name="Table Grid 7" w:uiPriority="0" w:semiHidden="false" w:unhideWhenUsed="false"/>
    <w:lsdException w:name="annotation text" w:uiPriority="99" w:semiHidden="false" w:unhideWhenUsed="false" w:qFormat="true"/>
    <w:lsdException w:name="Medium Grid 2" w:uiPriority="68" w:semiHidden="false" w:unhideWhenUsed="false"/>
    <w:lsdException w:name="Table List 3" w:uiPriority="0" w:semiHidden="false" w:unhideWhenUsed="false"/>
    <w:lsdException w:name="Body Text 3" w:uiPriority="0" w:semiHidden="false" w:unhideWhenUsed="false"/>
    <w:lsdException w:name="Table 3D effects 3" w:uiPriority="0" w:semiHidden="false" w:unhideWhenUsed="false"/>
    <w:lsdException w:name="Strong" w:uiPriority="22" w:semiHidden="false" w:unhideWhenUsed="false" w:qFormat="true"/>
    <w:lsdException w:name="Medium List 1 Accent 5" w:uiPriority="65" w:semiHidden="false" w:unhideWhenUsed="false"/>
    <w:lsdException w:name="index 1" w:uiPriority="0" w:semiHidden="false" w:unhideWhenUsed="false"/>
    <w:lsdException w:name="Medium List 2 Accent 3" w:uiPriority="66" w:semiHidden="false" w:unhideWhenUsed="false"/>
    <w:lsdException w:name="Body Text Indent 3" w:uiPriority="0" w:semiHidden="false" w:unhideWhenUsed="false"/>
    <w:lsdException w:name="annotation reference" w:uiPriority="0" w:semiHidden="false" w:unhideWhenUsed="false"/>
    <w:lsdException w:name="Medium List 1 Accent 2" w:uiPriority="65" w:semiHidden="false" w:unhideWhenUsed="false"/>
    <w:lsdException w:name="header" w:uiPriority="99" w:semiHidden="false" w:unhideWhenUsed="false" w:qFormat="true"/>
    <w:lsdException w:name="Medium List 1 Accent 6" w:uiPriority="65" w:semiHidden="false" w:unhideWhenUsed="false"/>
    <w:lsdException w:name="Dark List Accent 5" w:uiPriority="70" w:semiHidden="false" w:unhideWhenUsed="false"/>
    <w:lsdException w:name="Body Text" w:uiPriority="99" w:semiHidden="false" w:unhideWhenUsed="false" w:qFormat="true"/>
    <w:lsdException w:name="Light Grid Accent 2" w:uiPriority="62" w:semiHidden="false" w:unhideWhenUsed="false"/>
    <w:lsdException w:name="Colorful Shading Accent 1" w:uiPriority="71" w:semiHidden="false" w:unhideWhenUsed="false"/>
    <w:lsdException w:name="Medium List 2 Accent 6" w:uiPriority="66" w:semiHidden="false" w:unhideWhenUsed="false"/>
    <w:lsdException w:name="Medium Grid 3 Accent 3" w:uiPriority="69" w:semiHidden="false" w:unhideWhenUsed="false"/>
    <w:lsdException w:name="Light Shading Accent 1" w:uiPriority="60" w:semiHidden="false" w:unhideWhenUsed="false"/>
    <w:lsdException w:name="Table Columns 3" w:uiPriority="0" w:semiHidden="false" w:unhideWhenUsed="false"/>
    <w:lsdException w:name="List Continue 3" w:uiPriority="0" w:semiHidden="false" w:unhideWhenUsed="false"/>
    <w:lsdException w:name="Light Shading Accent 5" w:uiPriority="60" w:semiHidden="false" w:unhideWhenUsed="false"/>
    <w:lsdException w:name="Medium Grid 3" w:uiPriority="69" w:semiHidden="false" w:unhideWhenUsed="false"/>
    <w:lsdException w:name="Table Grid 2" w:uiPriority="0" w:semiHidden="false" w:unhideWhenUsed="false"/>
    <w:lsdException w:name="Colorful Shading Accent 2" w:uiPriority="71" w:semiHidden="false" w:unhideWhenUsed="false"/>
    <w:lsdException w:name="List Number 3" w:uiPriority="0" w:semiHidden="false" w:unhideWhenUsed="false"/>
    <w:lsdException w:name="Dark List Accent 1" w:uiPriority="70" w:semiHidden="false" w:unhideWhenUsed="false"/>
    <w:lsdException w:name="heading 7" w:uiPriority="0" w:qFormat="true"/>
    <w:lsdException w:name="Table Classic 1" w:uiPriority="0" w:semiHidden="false" w:unhideWhenUsed="false"/>
    <w:lsdException w:name="Medium List 1 Accent 3" w:uiPriority="65" w:semiHidden="false" w:unhideWhenUsed="false"/>
    <w:lsdException w:name="toc 2" w:uiPriority="39" w:semiHidden="false" w:unhideWhenUsed="false" w:qFormat="true"/>
    <w:lsdException w:name="Light List Accent 3" w:uiPriority="61" w:semiHidden="false" w:unhideWhenUsed="false"/>
    <w:lsdException w:name="Table Columns 5" w:uiPriority="0" w:semiHidden="false" w:unhideWhenUsed="false"/>
    <w:lsdException w:name="Medium Shading 2" w:uiPriority="64" w:semiHidden="false" w:unhideWhenUsed="false"/>
    <w:lsdException w:name="Colorful Grid Accent 3" w:uiPriority="73" w:semiHidden="false" w:unhideWhenUsed="false"/>
    <w:lsdException w:name="heading 6" w:uiPriority="0" w:qFormat="true"/>
    <w:lsdException w:name="Light List Accent 1" w:uiPriority="61" w:semiHidden="false" w:unhideWhenUsed="false"/>
    <w:lsdException w:name="Salutation" w:uiPriority="0" w:semiHidden="false" w:unhideWhenUsed="false"/>
    <w:lsdException w:name="Table Simple 2" w:uiPriority="0" w:semiHidden="false" w:unhideWhenUsed="false"/>
    <w:lsdException w:name="HTML Typewriter" w:uiPriority="0" w:semiHidden="false" w:unhideWhenUsed="false"/>
    <w:lsdException w:name="index 4" w:uiPriority="0" w:semiHidden="false" w:unhideWhenUsed="false"/>
    <w:lsdException w:name="toc 6" w:uiPriority="0" w:semiHidden="false" w:unhideWhenUsed="false"/>
    <w:lsdException w:name="toc 5" w:uiPriority="0" w:semiHidden="false" w:unhideWhenUsed="false"/>
    <w:lsdException w:name="Medium Shading 1 Accent 3" w:uiPriority="63" w:semiHidden="false" w:unhideWhenUsed="false"/>
    <w:lsdException w:name="Body Text Indent" w:uiPriority="99" w:semiHidden="false" w:unhideWhenUsed="false" w:qFormat="true"/>
    <w:lsdException w:name="heading 1" w:uiPriority="9" w:semiHidden="false" w:unhideWhenUsed="false" w:qFormat="true"/>
    <w:lsdException w:name="Table Simple 1" w:uiPriority="0" w:semiHidden="false" w:unhideWhenUsed="false"/>
    <w:lsdException w:name="Medium Grid 2 Accent 4" w:uiPriority="68" w:semiHidden="false" w:unhideWhenUsed="false"/>
    <w:lsdException w:name="Balloon Text" w:uiPriority="0" w:semiHidden="false" w:unhideWhenUsed="false"/>
    <w:lsdException w:name="Table List 1" w:uiPriority="0" w:semiHidden="false" w:unhideWhenUsed="false"/>
    <w:lsdException w:name="Table Professional" w:uiPriority="0" w:semiHidden="false" w:unhideWhenUsed="false"/>
    <w:lsdException w:name="Medium Grid 1 Accent 6" w:uiPriority="67" w:semiHidden="false" w:unhideWhenUsed="false"/>
    <w:lsdException w:name="Light Shading Accent 4" w:uiPriority="60" w:semiHidden="false" w:unhideWhenUsed="false"/>
    <w:lsdException w:name="heading 4" w:uiPriority="0" w:qFormat="true"/>
    <w:lsdException w:name="Table Grid 4" w:uiPriority="0" w:semiHidden="false" w:unhideWhenUsed="false"/>
    <w:lsdException w:name="index 5" w:uiPriority="0" w:semiHidden="false" w:unhideWhenUsed="false"/>
    <w:lsdException w:name="index 8" w:uiPriority="0" w:semiHidden="false" w:unhideWhenUsed="false"/>
    <w:lsdException w:name="Table List 7" w:uiPriority="0" w:semiHidden="false" w:unhideWhenUsed="false"/>
    <w:lsdException w:name="HTML Definition" w:uiPriority="0" w:semiHidden="false" w:unhideWhenUsed="false"/>
    <w:lsdException w:name="Table Classic 4" w:uiPriority="0" w:semiHidden="false" w:unhideWhenUsed="false"/>
    <w:lsdException w:name="index 3" w:uiPriority="0" w:semiHidden="false" w:unhideWhenUsed="false"/>
    <w:lsdException w:name="HTML Sample" w:uiPriority="0" w:semiHidden="false" w:unhideWhenUsed="false"/>
    <w:lsdException w:name="Colorful List" w:uiPriority="72" w:semiHidden="false" w:unhideWhenUsed="false"/>
    <w:lsdException w:name="Medium Grid 1 Accent 2" w:uiPriority="67" w:semiHidden="false" w:unhideWhenUsed="false"/>
    <w:lsdException w:name="Table Columns 4" w:uiPriority="0" w:semiHidden="false" w:unhideWhenUsed="false"/>
    <w:lsdException w:name="Light Grid Accent 6" w:uiPriority="62" w:semiHidden="false" w:unhideWhenUsed="false"/>
    <w:lsdException w:name="index 9" w:uiPriority="0" w:semiHidden="false" w:unhideWhenUsed="false"/>
    <w:lsdException w:name="Colorful List Accent 2" w:uiPriority="72" w:semiHidden="false" w:unhideWhenUsed="false"/>
    <w:lsdException w:name="Body Text 2" w:uiPriority="99" w:semiHidden="false" w:unhideWhenUsed="false" w:qFormat="true"/>
    <w:lsdException w:name="footer" w:uiPriority="99" w:semiHidden="false" w:unhideWhenUsed="false" w:qFormat="true"/>
    <w:lsdException w:name="HTML Acronym" w:uiPriority="0" w:semiHidden="false" w:unhideWhenUsed="false"/>
    <w:lsdException w:name="Medium Shading 2 Accent 4" w:uiPriority="64" w:semiHidden="false" w:unhideWhenUsed="false"/>
    <w:lsdException w:name="Colorful Grid" w:uiPriority="73" w:semiHidden="false" w:unhideWhenUsed="false"/>
    <w:lsdException w:name="Normal Table" w:uiPriority="99" w:semiHidden="false" w:unhideWhenUsed="false" w:qFormat="true"/>
    <w:lsdException w:name="Table Subtle 1" w:uiPriority="0" w:semiHidden="false" w:unhideWhenUsed="false"/>
    <w:lsdException w:name="Body Text Indent 2" w:uiPriority="0" w:semiHidden="false" w:unhideWhenUsed="false"/>
    <w:lsdException w:name="Plain Text" w:uiPriority="0" w:semiHidden="false" w:unhideWhenUsed="false"/>
    <w:lsdException w:name="Message Header" w:uiPriority="0" w:semiHidden="false" w:unhideWhenUsed="false"/>
    <w:lsdException w:name="caption" w:uiPriority="0" w:qFormat="true"/>
    <w:lsdException w:name="Signature" w:uiPriority="0" w:semiHidden="false" w:unhideWhenUsed="false"/>
    <w:lsdException w:name="Colorful List Accent 1" w:uiPriority="72" w:semiHidden="false" w:unhideWhenUsed="false"/>
    <w:lsdException w:name="Medium Grid 2 Accent 1" w:uiPriority="68" w:semiHidden="false" w:unhideWhenUsed="false"/>
    <w:lsdException w:name="List 5" w:uiPriority="0" w:semiHidden="false" w:unhideWhenUsed="false"/>
    <w:lsdException w:name="toc 3" w:uiPriority="0" w:semiHidden="false" w:unhideWhenUsed="false"/>
    <w:lsdException w:name="Dark List Accent 2" w:uiPriority="70" w:semiHidden="false" w:unhideWhenUsed="false"/>
    <w:lsdException w:name="HTML Variable" w:uiPriority="0" w:semiHidden="false" w:unhideWhenUsed="false"/>
    <w:lsdException w:name="envelope return" w:uiPriority="99" w:semiHidden="false" w:unhideWhenUsed="false" w:qFormat="true"/>
    <w:lsdException w:name="Table Colorful 1" w:uiPriority="0" w:semiHidden="false" w:unhideWhenUsed="false"/>
    <w:lsdException w:name="Medium Shading 2 Accent 3" w:uiPriority="64" w:semiHidden="false" w:unhideWhenUsed="false"/>
    <w:lsdException w:name="HTML Cite" w:uiPriority="0" w:semiHidden="false" w:unhideWhenUsed="false"/>
    <w:lsdException w:name="Table Classic 2" w:uiPriority="0" w:semiHidden="false" w:unhideWhenUsed="false"/>
    <w:lsdException w:name="Body Text First Indent 2" w:uiPriority="99" w:semiHidden="false" w:unhideWhenUsed="false" w:qFormat="true"/>
    <w:lsdException w:name="Table Colorful 2" w:uiPriority="0" w:semiHidden="false" w:unhideWhenUsed="false"/>
    <w:lsdException w:name="toc 1" w:uiPriority="39" w:semiHidden="false" w:unhideWhenUsed="false" w:qFormat="true"/>
    <w:lsdException w:name="Title" w:uiPriority="0" w:semiHidden="false" w:unhideWhenUsed="false" w:qFormat="true"/>
    <w:lsdException w:name="endnote text" w:uiPriority="0" w:semiHidden="false" w:unhideWhenUsed="false"/>
    <w:lsdException w:name="List Bullet 3" w:uiPriority="0" w:semiHidden="false" w:unhideWhenUsed="false"/>
    <w:lsdException w:name="Medium Shading 1 Accent 5" w:uiPriority="63" w:semiHidden="false" w:unhideWhenUsed="false"/>
    <w:lsdException w:name="Medium Grid 3 Accent 1" w:uiPriority="69" w:semiHidden="false" w:unhideWhenUsed="false"/>
    <w:lsdException w:name="Date" w:uiPriority="0" w:semiHidden="false" w:unhideWhenUsed="false"/>
    <w:lsdException w:name="macro" w:uiPriority="0" w:semiHidden="false" w:unhideWhenUsed="false"/>
    <w:lsdException w:name="Medium List 1 Accent 1" w:uiPriority="65" w:semiHidden="false" w:unhideWhenUsed="false"/>
    <w:lsdException w:name="Closing" w:uiPriority="0" w:semiHidden="false" w:unhideWhenUsed="false"/>
    <w:lsdException w:name="Table Columns 2" w:uiPriority="0" w:semiHidden="false" w:unhideWhenUsed="false"/>
    <w:lsdException w:name="List Continue 2" w:uiPriority="0" w:semiHidden="false" w:unhideWhenUsed="false"/>
    <w:lsdException w:name="Medium Grid 2 Accent 3" w:uiPriority="68" w:semiHidden="false" w:unhideWhenUsed="false"/>
    <w:lsdException w:name="Medium List 2" w:uiPriority="66" w:semiHidden="false" w:unhideWhenUsed="false"/>
    <w:lsdException w:name="footnote text" w:uiPriority="0" w:semiHidden="false" w:unhideWhenUsed="false"/>
    <w:lsdException w:name="Colorful Shading Accent 3" w:uiPriority="71" w:semiHidden="false" w:unhideWhenUsed="false"/>
    <w:lsdException w:name="Table List 6" w:uiPriority="0" w:semiHidden="false" w:unhideWhenUsed="false"/>
    <w:lsdException w:name="Table Grid 8" w:uiPriority="0" w:semiHidden="false" w:unhideWhenUsed="false"/>
    <w:lsdException w:name="Table Classic 3" w:uiPriority="0" w:semiHidden="false" w:unhideWhenUsed="false"/>
    <w:lsdException w:name="List Number 4" w:uiPriority="0" w:semiHidden="false" w:unhideWhenUsed="false"/>
    <w:lsdException w:name="Colorful Grid Accent 6" w:uiPriority="73" w:semiHidden="false" w:unhideWhenUsed="false"/>
    <w:lsdException w:name="Medium Shading 1 Accent 6" w:uiPriority="63" w:semiHidden="false" w:unhideWhenUsed="false"/>
    <w:lsdException w:name="Medium Grid 3 Accent 2" w:uiPriority="69" w:semiHidden="false" w:unhideWhenUsed="false"/>
    <w:lsdException w:name="index 7" w:uiPriority="0" w:semiHidden="false" w:unhideWhenUsed="false"/>
    <w:lsdException w:name="toc 4" w:uiPriority="0" w:semiHidden="false" w:unhideWhenUsed="false"/>
    <w:lsdException w:name="Light Shading Accent 6" w:uiPriority="60" w:semiHidden="false" w:unhideWhenUsed="false"/>
    <w:lsdException w:name="Light Grid Accent 4" w:uiPriority="62" w:semiHidden="false" w:unhideWhenUsed="false"/>
    <w:lsdException w:name="Block Text" w:uiPriority="0" w:semiHidden="false" w:unhideWhenUsed="false"/>
    <w:lsdException w:name="Normal" w:uiPriority="0" w:semiHidden="false" w:unhideWhenUsed="false" w:qFormat="true"/>
    <w:lsdException w:name="Medium Shading 2 Accent 2" w:uiPriority="64" w:semiHidden="false" w:unhideWhenUsed="false"/>
    <w:lsdException w:name="heading 5" w:uiPriority="0" w:qFormat="true"/>
    <w:lsdException w:name="Light Grid Accent 3" w:uiPriority="62" w:semiHidden="false" w:unhideWhenUsed="false"/>
    <w:lsdException w:name="Table Colorful 3" w:uiPriority="0" w:semiHidden="false" w:unhideWhenUsed="false"/>
    <w:lsdException w:name="Light List Accent 4" w:uiPriority="61" w:semiHidden="false" w:unhideWhenUsed="false"/>
    <w:lsdException w:name="Dark List Accent 3" w:uiPriority="70" w:semiHidden="false" w:unhideWhenUsed="false"/>
    <w:lsdException w:name="Medium Shading 2 Accent 1" w:uiPriority="64" w:semiHidden="false" w:unhideWhenUsed="false"/>
    <w:lsdException w:name="Colorful Shading Accent 6" w:uiPriority="71" w:semiHidden="false" w:unhideWhenUsed="false"/>
    <w:lsdException w:name="Normal Indent" w:uiPriority="0" w:semiHidden="false" w:unhideWhenUsed="false"/>
    <w:lsdException w:name="Medium List 2 Accent 5" w:uiPriority="66" w:semiHidden="false" w:unhideWhenUsed="false"/>
    <w:lsdException w:name="Medium Grid 1" w:uiPriority="67" w:semiHidden="false" w:unhideWhenUsed="false"/>
    <w:lsdException w:name="Table Grid 5" w:uiPriority="0" w:semiHidden="false" w:unhideWhenUsed="false"/>
    <w:lsdException w:name="Table Web 1" w:uiPriority="0" w:semiHidden="false" w:unhideWhenUsed="false"/>
    <w:lsdException w:name="Table Web 2" w:uiPriority="0" w:semiHidden="false" w:unhideWhenUsed="false"/>
    <w:lsdException w:name="E-mail Signature" w:uiPriority="0" w:semiHidden="false" w:unhideWhenUsed="false"/>
    <w:lsdException w:name="Colorful Grid Accent 4" w:uiPriority="73" w:semiHidden="false" w:unhideWhenUsed="false"/>
    <w:lsdException w:name="Table 3D effects 1" w:uiPriority="0" w:semiHidden="false" w:unhideWhenUsed="false"/>
    <w:lsdException w:name="Colorful List Accent 4" w:uiPriority="72" w:semiHidden="false" w:unhideWhenUsed="false"/>
    <w:lsdException w:name="toc 7" w:uiPriority="0" w:semiHidden="false" w:unhideWhenUsed="false"/>
    <w:lsdException w:name="Light Shading" w:uiPriority="60" w:semiHidden="false" w:unhideWhenUsed="false"/>
    <w:lsdException w:name="List Number 2" w:uiPriority="0" w:semiHidden="false" w:unhideWhenUsed="false"/>
    <w:lsdException w:name="Medium Grid 3 Accent 4" w:uiPriority="69" w:semiHidden="false" w:unhideWhenUsed="false"/>
    <w:lsdException w:name="Medium List 1 Accent 4" w:uiPriority="65" w:semiHidden="false" w:unhideWhenUsed="false"/>
  </w:latentStyles>
  <w:style w:type="paragraph" w:styleId="000012">
    <w:name w:val="toc 2"/>
    <w:basedOn w:val="000005"/>
    <w:next w:val="000005"/>
    <w:autoRedefine/>
    <w:uiPriority w:val="39"/>
    <w:qFormat/>
    <w:pPr>
      <w:ind w:left="420" w:leftChars="200"/>
    </w:pPr>
  </w:style>
  <w:style w:type="character" w:styleId="000032" w:customStyle="true">
    <w:name w:val="font141"/>
    <w:basedOn w:val="000009"/>
    <w:uiPriority w:val="0"/>
    <w:qFormat/>
    <w:rPr>
      <w:rFonts w:hint="default" w:ascii="Times New Roman" w:hAnsi="Times New Roman" w:cs="Times New Roman"/>
      <w:color w:val="000000"/>
      <w:sz w:val="14"/>
      <w:szCs w:val="14"/>
      <w:u w:val="none"/>
    </w:rPr>
  </w:style>
  <w:style w:type="paragraph" w:styleId="000006">
    <w:name w:val="heading 1"/>
    <w:basedOn w:val="000005"/>
    <w:next w:val="000005"/>
    <w:autoRedefine/>
    <w:uiPriority w:val="9"/>
    <w:qFormat/>
    <w:pPr>
      <w:keepNext/>
      <w:keepLines/>
      <w:spacing w:before="340" w:beforeAutospacing="false" w:after="330" w:afterAutospacing="false" w:line="576" w:lineRule="auto"/>
      <w:outlineLvl w:val="0"/>
    </w:pPr>
    <w:rPr>
      <w:rFonts w:ascii="Calibri" w:hAnsi="Calibri" w:eastAsia="黑体"/>
      <w:b/>
      <w:kern w:val="44"/>
      <w:sz w:val="36"/>
    </w:rPr>
  </w:style>
  <w:style w:type="character" w:styleId="000027" w:customStyle="true">
    <w:name w:val="font41"/>
    <w:basedOn w:val="000009"/>
    <w:autoRedefine/>
    <w:uiPriority w:val="0"/>
    <w:qFormat/>
    <w:rPr>
      <w:rFonts w:hint="eastAsia" w:ascii="宋体" w:hAnsi="宋体" w:eastAsia="宋体" w:cs="宋体"/>
      <w:color w:val="000000"/>
      <w:sz w:val="16"/>
      <w:szCs w:val="16"/>
      <w:u w:val="none"/>
    </w:rPr>
  </w:style>
  <w:style w:type="table" w:styleId="00000a" w:default="true">
    <w:name w:val="Normal Table"/>
    <w:autoRedefine/>
    <w:uiPriority w:val="99"/>
    <w:qFormat/>
    <w:tblPr>
      <w:tblCellMar>
        <w:top w:w="0" w:type="dxa"/>
        <w:left w:w="108" w:type="dxa"/>
        <w:bottom w:w="0" w:type="dxa"/>
        <w:right w:w="108" w:type="dxa"/>
      </w:tblCellMar>
    </w:tblPr>
  </w:style>
  <w:style w:type="character" w:styleId="000033" w:customStyle="true">
    <w:name w:val="font61"/>
    <w:basedOn w:val="000009"/>
    <w:autoRedefine/>
    <w:uiPriority w:val="0"/>
    <w:qFormat/>
    <w:rPr>
      <w:rFonts w:ascii="Arial" w:hAnsi="Arial" w:cs="Arial"/>
      <w:color w:val="000000"/>
      <w:sz w:val="16"/>
      <w:szCs w:val="16"/>
      <w:u w:val="none"/>
    </w:rPr>
  </w:style>
  <w:style w:type="paragraph" w:styleId="00001c" w:customStyle="true">
    <w:name w:val="Table Paragraph1"/>
    <w:autoRedefine/>
    <w:uiPriority w:val="1"/>
    <w:qFormat/>
    <w:pPr>
      <w:kinsoku w:val="false"/>
      <w:autoSpaceDE w:val="false"/>
      <w:autoSpaceDN w:val="false"/>
      <w:adjustRightInd w:val="false"/>
      <w:snapToGrid w:val="false"/>
      <w:spacing w:line="240" w:lineRule="auto"/>
      <w:jc w:val="center"/>
      <w:textAlignment w:val="baseline"/>
    </w:pPr>
    <w:rPr>
      <w:rFonts w:ascii="Times New Roman" w:hAnsi="Times New Roman" w:eastAsia="Times New Roman" w:cs="Times New Roman"/>
      <w:snapToGrid w:val="false"/>
      <w:color w:val="000000"/>
      <w:kern w:val="0"/>
      <w:sz w:val="21"/>
      <w:szCs w:val="21"/>
      <w:lang w:val="zh-CN" w:eastAsia="zh-CN" w:bidi="zh-CN"/>
    </w:rPr>
  </w:style>
  <w:style w:type="character" w:styleId="00002f" w:customStyle="true">
    <w:name w:val="font121"/>
    <w:basedOn w:val="000009"/>
    <w:uiPriority w:val="0"/>
    <w:qFormat/>
    <w:rPr>
      <w:rFonts w:hint="eastAsia" w:ascii="宋体" w:hAnsi="宋体" w:eastAsia="宋体" w:cs="宋体"/>
      <w:color w:val="000000"/>
      <w:sz w:val="14"/>
      <w:szCs w:val="14"/>
      <w:u w:val="none"/>
    </w:rPr>
  </w:style>
  <w:style w:type="character" w:styleId="000017">
    <w:name w:val="Strong"/>
    <w:basedOn w:val="000009"/>
    <w:autoRedefine/>
    <w:uiPriority w:val="22"/>
    <w:qFormat/>
    <w:rPr>
      <w:b/>
    </w:rPr>
  </w:style>
  <w:style w:type="character" w:styleId="00002d" w:customStyle="true">
    <w:name w:val="font131"/>
    <w:basedOn w:val="000009"/>
    <w:uiPriority w:val="0"/>
    <w:qFormat/>
    <w:rPr>
      <w:rFonts w:hint="default" w:ascii="Times New Roman" w:hAnsi="Times New Roman" w:cs="Times New Roman"/>
      <w:color w:val="000000"/>
      <w:sz w:val="14"/>
      <w:szCs w:val="14"/>
      <w:u w:val="none"/>
    </w:rPr>
  </w:style>
  <w:style w:type="paragraph" w:styleId="000015">
    <w:name w:val="Body Text First Indent 2"/>
    <w:basedOn w:val="00000d"/>
    <w:autoRedefine/>
    <w:uiPriority w:val="99"/>
    <w:qFormat/>
    <w:pPr>
      <w:spacing w:line="360" w:lineRule="auto"/>
      <w:ind w:firstLine="420"/>
    </w:pPr>
    <w:rPr>
      <w:szCs w:val="22"/>
    </w:rPr>
  </w:style>
  <w:style w:type="character" w:styleId="000019" w:customStyle="true">
    <w:name w:val="font151"/>
    <w:basedOn w:val="000009"/>
    <w:autoRedefine/>
    <w:uiPriority w:val="0"/>
    <w:qFormat/>
    <w:rPr>
      <w:rFonts w:hint="default" w:ascii="Times New Roman" w:hAnsi="Times New Roman" w:cs="Times New Roman"/>
      <w:color w:val="000000"/>
      <w:sz w:val="14"/>
      <w:szCs w:val="14"/>
      <w:u w:val="none"/>
    </w:rPr>
  </w:style>
  <w:style w:type="character" w:styleId="00001a" w:customStyle="true">
    <w:name w:val="font112"/>
    <w:basedOn w:val="000009"/>
    <w:uiPriority w:val="0"/>
    <w:rPr>
      <w:rFonts w:hint="eastAsia" w:ascii="宋体" w:hAnsi="宋体" w:eastAsia="宋体" w:cs="宋体"/>
      <w:color w:val="000000"/>
      <w:sz w:val="14"/>
      <w:szCs w:val="14"/>
      <w:u w:val="none"/>
    </w:rPr>
  </w:style>
  <w:style w:type="paragraph" w:styleId="00000c">
    <w:name w:val="Body Text"/>
    <w:basedOn w:val="000005"/>
    <w:autoRedefine/>
    <w:uiPriority w:val="99"/>
    <w:qFormat/>
    <w:rPr>
      <w:rFonts w:ascii="Arial" w:hAnsi="Arial" w:eastAsia="Arial" w:cs="Arial"/>
      <w:sz w:val="21"/>
      <w:szCs w:val="21"/>
      <w:lang w:val="en-US" w:eastAsia="en-US" w:bidi="ar-SA"/>
    </w:rPr>
  </w:style>
  <w:style w:type="paragraph" w:styleId="000034" w:customStyle="true">
    <w:name w:val="硕士学位论文"/>
    <w:basedOn w:val="000005"/>
    <w:autoRedefine/>
    <w:uiPriority w:val="0"/>
    <w:qFormat/>
    <w:pPr>
      <w:widowControl w:val="false"/>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paragraph" w:styleId="00000f">
    <w:name w:val="footer"/>
    <w:basedOn w:val="000005"/>
    <w:autoRedefine/>
    <w:uiPriority w:val="99"/>
    <w:qFormat/>
    <w:pPr>
      <w:tabs>
        <w:tab w:val="center" w:pos="4153"/>
        <w:tab w:val="right" w:pos="8306"/>
      </w:tabs>
      <w:snapToGrid w:val="false"/>
      <w:jc w:val="left"/>
    </w:pPr>
    <w:rPr>
      <w:sz w:val="18"/>
    </w:rPr>
  </w:style>
  <w:style w:type="paragraph" w:styleId="000008">
    <w:name w:val="heading 3"/>
    <w:basedOn w:val="000005"/>
    <w:next w:val="000005"/>
    <w:autoRedefine/>
    <w:uiPriority w:val="9"/>
    <w:qFormat/>
    <w:pPr>
      <w:keepNext/>
      <w:keepLines/>
      <w:spacing w:before="260" w:beforeAutospacing="false" w:after="260" w:afterAutospacing="false" w:line="413" w:lineRule="auto"/>
      <w:outlineLvl w:val="2"/>
    </w:pPr>
    <w:rPr>
      <w:rFonts w:ascii="Calibri" w:hAnsi="Calibri" w:eastAsia="黑体"/>
      <w:b/>
      <w:sz w:val="28"/>
    </w:rPr>
  </w:style>
  <w:style w:type="character" w:styleId="000018">
    <w:name w:val="Hyperlink"/>
    <w:basedOn w:val="000009"/>
    <w:autoRedefine/>
    <w:uiPriority w:val="99"/>
    <w:qFormat/>
    <w:rPr>
      <w:rFonts w:ascii="Times New Roman" w:hAnsi="Times New Roman" w:eastAsia="宋体" w:cs="Times New Roman"/>
      <w:color w:val="0000FF"/>
      <w:u w:val="single"/>
    </w:rPr>
  </w:style>
  <w:style w:type="character" w:styleId="000022" w:customStyle="true">
    <w:name w:val="font132"/>
    <w:basedOn w:val="000009"/>
    <w:uiPriority w:val="0"/>
    <w:qFormat/>
    <w:rPr>
      <w:rFonts w:hint="default" w:ascii="Times New Roman" w:hAnsi="Times New Roman" w:cs="Times New Roman"/>
      <w:color w:val="000000"/>
      <w:sz w:val="14"/>
      <w:szCs w:val="14"/>
      <w:u w:val="none"/>
    </w:rPr>
  </w:style>
  <w:style w:type="paragraph" w:styleId="00000e">
    <w:name w:val="envelope return"/>
    <w:basedOn w:val="000005"/>
    <w:autoRedefine/>
    <w:uiPriority w:val="99"/>
    <w:qFormat/>
    <w:pPr>
      <w:widowControl w:val="false"/>
      <w:kinsoku/>
      <w:autoSpaceDE/>
      <w:autoSpaceDN/>
      <w:adjustRightInd w:val="false"/>
      <w:snapToGrid w:val="false"/>
      <w:spacing w:line="240" w:lineRule="auto"/>
      <w:ind w:firstLine="0" w:firstLineChars="0"/>
      <w:jc w:val="both"/>
      <w:textAlignment w:val="auto"/>
    </w:pPr>
    <w:rPr>
      <w:rFonts w:ascii="Arial" w:hAnsi="Arial" w:eastAsia="宋体" w:cs="宋体"/>
      <w:snapToGrid/>
      <w:kern w:val="2"/>
      <w:szCs w:val="20"/>
      <w:lang w:eastAsia="zh-CN"/>
    </w:rPr>
  </w:style>
  <w:style w:type="paragraph" w:styleId="00002e" w:customStyle="true">
    <w:name w:val="论文标题"/>
    <w:basedOn w:val="000005"/>
    <w:autoRedefine/>
    <w:uiPriority w:val="0"/>
    <w:qFormat/>
    <w:pPr>
      <w:widowControl w:val="false"/>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character" w:styleId="00002a" w:customStyle="true">
    <w:name w:val="font01"/>
    <w:basedOn w:val="000009"/>
    <w:autoRedefine/>
    <w:uiPriority w:val="0"/>
    <w:qFormat/>
    <w:rPr>
      <w:rFonts w:hint="eastAsia" w:ascii="宋体" w:hAnsi="宋体" w:eastAsia="宋体" w:cs="宋体"/>
      <w:color w:val="FF0000"/>
      <w:sz w:val="21"/>
      <w:szCs w:val="21"/>
      <w:u w:val="none"/>
    </w:rPr>
  </w:style>
  <w:style w:type="paragraph" w:styleId="000031" w:customStyle="true">
    <w:name w:val="WPSOffice手动目录 1"/>
    <w:autoRedefine/>
    <w:uiPriority w:val="0"/>
    <w:qFormat/>
    <w:pPr>
      <w:ind w:leftChars="0"/>
    </w:pPr>
    <w:rPr>
      <w:rFonts w:ascii="Times New Roman" w:hAnsi="Times New Roman" w:eastAsia="宋体" w:cs="Times New Roman"/>
      <w:sz w:val="20"/>
      <w:szCs w:val="20"/>
    </w:rPr>
  </w:style>
  <w:style w:type="paragraph" w:styleId="00002b" w:customStyle="true">
    <w:name w:val="Table Paragraph"/>
    <w:basedOn w:val="000005"/>
    <w:uiPriority w:val="1"/>
    <w:qFormat/>
    <w:pPr>
      <w:jc w:val="center"/>
    </w:pPr>
    <w:rPr>
      <w:rFonts w:ascii="Times New Roman" w:hAnsi="Times New Roman" w:eastAsia="Times New Roman" w:cs="Times New Roman"/>
      <w:lang w:val="zh-CN" w:eastAsia="zh-CN" w:bidi="zh-CN"/>
    </w:rPr>
  </w:style>
  <w:style w:type="paragraph" w:styleId="000007">
    <w:name w:val="heading 2"/>
    <w:basedOn w:val="000005"/>
    <w:next w:val="000005"/>
    <w:autoRedefine/>
    <w:uiPriority w:val="9"/>
    <w:qFormat/>
    <w:pPr>
      <w:keepNext/>
      <w:keepLines/>
      <w:spacing w:before="260" w:beforeAutospacing="false" w:after="260" w:afterAutospacing="false" w:line="413" w:lineRule="auto"/>
      <w:outlineLvl w:val="1"/>
    </w:pPr>
    <w:rPr>
      <w:rFonts w:ascii="Arial" w:hAnsi="Arial" w:eastAsia="黑体"/>
      <w:b/>
      <w:sz w:val="30"/>
    </w:rPr>
  </w:style>
  <w:style w:type="paragraph" w:styleId="000010">
    <w:name w:val="header"/>
    <w:basedOn w:val="000005"/>
    <w:autoRedefine/>
    <w:uiPriority w:val="99"/>
    <w:qFormat/>
    <w:pPr>
      <w:pBdr>
        <w:top w:val="none" w:color="auto" w:sz="0" w:space="1"/>
        <w:left w:val="none" w:color="auto" w:sz="0" w:space="4"/>
        <w:bottom w:val="none" w:color="auto" w:sz="0" w:space="1"/>
        <w:right w:val="none" w:color="auto" w:sz="0" w:space="4"/>
      </w:pBdr>
      <w:tabs>
        <w:tab w:val="center" w:pos="4153"/>
        <w:tab w:val="right" w:pos="8306"/>
      </w:tabs>
      <w:snapToGrid w:val="false"/>
      <w:spacing w:line="240" w:lineRule="auto"/>
      <w:jc w:val="both"/>
      <w:outlineLvl w:val="9"/>
    </w:pPr>
    <w:rPr>
      <w:sz w:val="18"/>
    </w:rPr>
  </w:style>
  <w:style w:type="character" w:styleId="00001f" w:customStyle="true">
    <w:name w:val="font101"/>
    <w:basedOn w:val="000009"/>
    <w:uiPriority w:val="0"/>
    <w:qFormat/>
    <w:rPr>
      <w:rFonts w:hint="default" w:ascii="Times New Roman" w:hAnsi="Times New Roman" w:cs="Times New Roman"/>
      <w:color w:val="000000"/>
      <w:sz w:val="14"/>
      <w:szCs w:val="14"/>
      <w:u w:val="none"/>
    </w:rPr>
  </w:style>
  <w:style w:type="paragraph" w:styleId="000028" w:customStyle="true">
    <w:name w:val="正文11"/>
    <w:uiPriority w:val="0"/>
    <w:qFormat/>
    <w:pPr>
      <w:widowControl w:val="false"/>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paragraph" w:styleId="000020" w:customStyle="true">
    <w:name w:val="WPSOffice手动目录 3"/>
    <w:uiPriority w:val="0"/>
    <w:qFormat/>
    <w:pPr>
      <w:ind w:leftChars="400"/>
    </w:pPr>
    <w:rPr>
      <w:rFonts w:ascii="Times New Roman" w:hAnsi="Times New Roman" w:eastAsia="宋体" w:cs="Times New Roman"/>
      <w:sz w:val="20"/>
      <w:szCs w:val="20"/>
    </w:rPr>
  </w:style>
  <w:style w:type="character" w:styleId="000026" w:customStyle="true">
    <w:name w:val="font51"/>
    <w:basedOn w:val="000009"/>
    <w:autoRedefine/>
    <w:uiPriority w:val="0"/>
    <w:qFormat/>
    <w:rPr>
      <w:rFonts w:hint="default" w:ascii="Times New Roman" w:hAnsi="Times New Roman" w:cs="Times New Roman"/>
      <w:color w:val="000000"/>
      <w:sz w:val="16"/>
      <w:szCs w:val="16"/>
      <w:u w:val="none"/>
    </w:rPr>
  </w:style>
  <w:style w:type="character" w:styleId="000009" w:default="true">
    <w:name w:val="Default Paragraph Font"/>
    <w:autoRedefine/>
    <w:uiPriority w:val="1"/>
    <w:qFormat/>
  </w:style>
  <w:style w:type="paragraph" w:styleId="000023" w:customStyle="true">
    <w:name w:val="分类号"/>
    <w:basedOn w:val="000005"/>
    <w:autoRedefine/>
    <w:uiPriority w:val="0"/>
    <w:qFormat/>
    <w:pPr>
      <w:widowControl w:val="false"/>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paragraph" w:styleId="00002c">
    <w:name w:val="List Paragraph"/>
    <w:basedOn w:val="000005"/>
    <w:autoRedefine/>
    <w:uiPriority w:val="1"/>
    <w:qFormat/>
    <w:pPr>
      <w:ind w:left="220" w:firstLine="559"/>
    </w:pPr>
    <w:rPr>
      <w:rFonts w:ascii="仿宋" w:hAnsi="仿宋" w:eastAsia="仿宋" w:cs="仿宋"/>
      <w:lang w:val="zh-CN" w:eastAsia="zh-CN" w:bidi="zh-CN"/>
    </w:rPr>
  </w:style>
  <w:style w:type="table" w:styleId="000016">
    <w:name w:val="Table Grid"/>
    <w:basedOn w:val="00000a"/>
    <w:autoRedefine/>
    <w:uiPriority w:val="3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00035" w:customStyle="true">
    <w:name w:val="研究生姓名"/>
    <w:basedOn w:val="000005"/>
    <w:autoRedefine/>
    <w:uiPriority w:val="0"/>
    <w:qFormat/>
    <w:pPr>
      <w:widowControl w:val="false"/>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character" w:styleId="000036" w:customStyle="true">
    <w:name w:val="font21"/>
    <w:basedOn w:val="000009"/>
    <w:uiPriority w:val="0"/>
    <w:qFormat/>
    <w:rPr>
      <w:rFonts w:ascii="Arial" w:hAnsi="Arial" w:cs="Arial"/>
      <w:color w:val="000000"/>
      <w:sz w:val="16"/>
      <w:szCs w:val="16"/>
      <w:u w:val="none"/>
    </w:rPr>
  </w:style>
  <w:style w:type="character" w:styleId="00001b" w:customStyle="true">
    <w:name w:val="font122"/>
    <w:basedOn w:val="000009"/>
    <w:autoRedefine/>
    <w:uiPriority w:val="0"/>
    <w:qFormat/>
    <w:rPr>
      <w:rFonts w:hint="eastAsia" w:ascii="宋体" w:hAnsi="宋体" w:eastAsia="宋体" w:cs="宋体"/>
      <w:color w:val="000000"/>
      <w:sz w:val="14"/>
      <w:szCs w:val="14"/>
      <w:u w:val="none"/>
    </w:rPr>
  </w:style>
  <w:style w:type="paragraph" w:styleId="000030" w:customStyle="true">
    <w:name w:val="封面日期"/>
    <w:basedOn w:val="000005"/>
    <w:autoRedefine/>
    <w:uiPriority w:val="0"/>
    <w:qFormat/>
    <w:pPr>
      <w:widowControl w:val="false"/>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character" w:styleId="000021" w:customStyle="true">
    <w:name w:val="font91"/>
    <w:basedOn w:val="000009"/>
    <w:uiPriority w:val="0"/>
    <w:qFormat/>
    <w:rPr>
      <w:rFonts w:hint="default" w:ascii="Times New Roman" w:hAnsi="Times New Roman" w:cs="Times New Roman"/>
      <w:color w:val="000000"/>
      <w:sz w:val="14"/>
      <w:szCs w:val="14"/>
      <w:u w:val="none"/>
    </w:rPr>
  </w:style>
  <w:style w:type="paragraph" w:styleId="000025" w:customStyle="true">
    <w:name w:val="Table Text"/>
    <w:basedOn w:val="000005"/>
    <w:autoRedefine/>
    <w:uiPriority w:val="0"/>
    <w:qFormat/>
    <w:rPr>
      <w:rFonts w:ascii="仿宋" w:hAnsi="仿宋" w:eastAsia="仿宋" w:cs="仿宋"/>
      <w:sz w:val="20"/>
      <w:szCs w:val="20"/>
      <w:lang w:val="en-US" w:eastAsia="en-US" w:bidi="ar-SA"/>
    </w:rPr>
  </w:style>
  <w:style w:type="character" w:styleId="000029" w:customStyle="true">
    <w:name w:val="font31"/>
    <w:basedOn w:val="000009"/>
    <w:autoRedefine/>
    <w:uiPriority w:val="0"/>
    <w:qFormat/>
    <w:rPr>
      <w:rFonts w:hint="eastAsia" w:ascii="宋体" w:hAnsi="宋体" w:eastAsia="宋体" w:cs="宋体"/>
      <w:color w:val="000000"/>
      <w:sz w:val="18"/>
      <w:szCs w:val="18"/>
      <w:u w:val="none"/>
    </w:r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paragraph" w:styleId="000014">
    <w:name w:val="Normal (Web)"/>
    <w:basedOn w:val="000005"/>
    <w:autoRedefine/>
    <w:uiPriority w:val="99"/>
    <w:qFormat/>
    <w:pPr>
      <w:spacing w:before="0" w:beforeAutospacing="true" w:after="0" w:afterAutospacing="true"/>
      <w:ind w:left="0" w:right="0"/>
      <w:jc w:val="left"/>
    </w:pPr>
    <w:rPr>
      <w:kern w:val="0"/>
      <w:sz w:val="24"/>
      <w:lang w:val="en-US" w:eastAsia="zh-CN"/>
    </w:rPr>
  </w:style>
  <w:style w:type="character" w:styleId="000024" w:customStyle="true">
    <w:name w:val="font11"/>
    <w:basedOn w:val="000009"/>
    <w:autoRedefine/>
    <w:uiPriority w:val="0"/>
    <w:qFormat/>
    <w:rPr>
      <w:rFonts w:hint="eastAsia" w:ascii="宋体" w:hAnsi="宋体" w:eastAsia="宋体" w:cs="宋体"/>
      <w:color w:val="000000"/>
      <w:sz w:val="16"/>
      <w:szCs w:val="16"/>
      <w:u w:val="none"/>
    </w:rPr>
  </w:style>
  <w:style w:type="paragraph" w:styleId="000013">
    <w:name w:val="Body Text 2"/>
    <w:basedOn w:val="000005"/>
    <w:autoRedefine/>
    <w:uiPriority w:val="99"/>
    <w:qFormat/>
    <w:rPr>
      <w:color w:val="0000FF"/>
    </w:rPr>
  </w:style>
  <w:style w:type="paragraph" w:styleId="00001d" w:customStyle="true">
    <w:name w:val="WPSOffice手动目录 2"/>
    <w:uiPriority w:val="0"/>
    <w:qFormat/>
    <w:pPr>
      <w:ind w:leftChars="200"/>
    </w:pPr>
    <w:rPr>
      <w:rFonts w:ascii="Times New Roman" w:hAnsi="Times New Roman" w:eastAsia="宋体" w:cs="Times New Roman"/>
      <w:sz w:val="20"/>
      <w:szCs w:val="20"/>
    </w:rPr>
  </w:style>
  <w:style w:type="table" w:styleId="00001e" w:customStyle="true">
    <w:name w:val="Table Normal"/>
    <w:autoRedefine/>
    <w:uiPriority w:val="0"/>
    <w:qFormat/>
    <w:tblPr>
      <w:tblCellMar>
        <w:top w:w="0" w:type="dxa"/>
        <w:left w:w="0" w:type="dxa"/>
        <w:bottom w:w="0" w:type="dxa"/>
        <w:right w:w="0" w:type="dxa"/>
      </w:tblCellMar>
    </w:tblPr>
  </w:style>
  <w:style w:type="paragraph" w:styleId="00000b">
    <w:name w:val="annotation text"/>
    <w:basedOn w:val="000005"/>
    <w:autoRedefine/>
    <w:uiPriority w:val="99"/>
    <w:qFormat/>
    <w:pPr>
      <w:jc w:val="left"/>
    </w:pPr>
  </w:style>
  <w:style w:type="paragraph" w:styleId="00000d">
    <w:name w:val="Body Text Indent"/>
    <w:basedOn w:val="000005"/>
    <w:next w:val="00000e"/>
    <w:autoRedefine/>
    <w:uiPriority w:val="99"/>
    <w:qFormat/>
    <w:pPr>
      <w:widowControl w:val="false"/>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paragraph" w:styleId="000011">
    <w:name w:val="toc 1"/>
    <w:basedOn w:val="000005"/>
    <w:next w:val="000005"/>
    <w:autoRedefine/>
    <w:uiPriority w:val="39"/>
    <w:qFormat/>
  </w:style>
</w:styles>
</file>

<file path=word/_rels/document.xml.rels><?xml version="1.0" encoding="UTF-8" standalone="yes"?><Relationships xmlns="http://schemas.openxmlformats.org/package/2006/relationships"><Relationship Id="rId9" Type="http://schemas.openxmlformats.org/officeDocument/2006/relationships/image" Target="media/image3.jpg" /><Relationship Id="rId6" Type="http://schemas.openxmlformats.org/officeDocument/2006/relationships/footer" Target="footer1.xml" /><Relationship Id="rId5" Type="http://schemas.openxmlformats.org/officeDocument/2006/relationships/theme" Target="theme/theme1.xml" /><Relationship Id="rId4" Type="http://schemas.openxmlformats.org/officeDocument/2006/relationships/fontTable" Target="fontTable.xml" /><Relationship Id="rId3" Type="http://schemas.openxmlformats.org/officeDocument/2006/relationships/endnotes" Target="endnotes.xml" /><Relationship Id="rId8" Type="http://schemas.openxmlformats.org/officeDocument/2006/relationships/image" Target="media/image2.jpg" /><Relationship Id="rId26" Type="http://schemas.openxmlformats.org/officeDocument/2006/relationships/image" Target="media/image20.png" /><Relationship Id="rId27" Type="http://schemas.openxmlformats.org/officeDocument/2006/relationships/image" Target="media/image21.png" /><Relationship Id="rId23" Type="http://schemas.openxmlformats.org/officeDocument/2006/relationships/image" Target="media/image17.png" /><Relationship Id="rId13" Type="http://schemas.openxmlformats.org/officeDocument/2006/relationships/image" Target="media/image7.png" /><Relationship Id="rId24" Type="http://schemas.openxmlformats.org/officeDocument/2006/relationships/image" Target="media/image18.png" /><Relationship Id="rId12" Type="http://schemas.openxmlformats.org/officeDocument/2006/relationships/image" Target="media/image6.jpg" /><Relationship Id="rId0" Type="http://schemas.openxmlformats.org/officeDocument/2006/relationships/styles" Target="styles.xml" /><Relationship Id="rId2" Type="http://schemas.openxmlformats.org/officeDocument/2006/relationships/footnotes" Target="footnotes.xml" /><Relationship Id="rId11" Type="http://schemas.openxmlformats.org/officeDocument/2006/relationships/image" Target="media/image5.png" /><Relationship Id="rId10" Type="http://schemas.openxmlformats.org/officeDocument/2006/relationships/image" Target="media/image4.png" /><Relationship Id="rId7" Type="http://schemas.openxmlformats.org/officeDocument/2006/relationships/image" Target="media/image1.jpg" /><Relationship Id="rId1" Type="http://schemas.openxmlformats.org/officeDocument/2006/relationships/settings" Target="settings.xml" /><Relationship Id="rId14" Type="http://schemas.openxmlformats.org/officeDocument/2006/relationships/image" Target="media/image8.jpg" /><Relationship Id="rId15" Type="http://schemas.openxmlformats.org/officeDocument/2006/relationships/image" Target="media/image9.jpg" /><Relationship Id="rId16" Type="http://schemas.openxmlformats.org/officeDocument/2006/relationships/image" Target="media/image10.png" /><Relationship Id="rId18" Type="http://schemas.openxmlformats.org/officeDocument/2006/relationships/image" Target="media/image12.png" /><Relationship Id="rId19" Type="http://schemas.openxmlformats.org/officeDocument/2006/relationships/image" Target="media/image13.png" /><Relationship Id="rId25" Type="http://schemas.openxmlformats.org/officeDocument/2006/relationships/image" Target="media/image19.png" /><Relationship Id="rId20" Type="http://schemas.openxmlformats.org/officeDocument/2006/relationships/image" Target="media/image14.png" /><Relationship Id="rId21" Type="http://schemas.openxmlformats.org/officeDocument/2006/relationships/image" Target="media/image15.jpg" /><Relationship Id="rId17" Type="http://schemas.openxmlformats.org/officeDocument/2006/relationships/image" Target="media/image11.png" /><Relationship Id="rId22" Type="http://schemas.openxmlformats.org/officeDocument/2006/relationships/image" Target="media/image1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2025-04-09T14:58:22Z</dcterms:created>
  <dcterms:modified xsi:type="dcterms:W3CDTF">2025-04-09T14:58:22Z</dcterms:modified>
</cp:coreProperties>
</file>