
<file path=[Content_Types].xml><?xml version="1.0" encoding="utf-8"?>
<Types xmlns="http://schemas.openxmlformats.org/package/2006/content-types">
  <Default Extension="png" ContentType="image/pn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docProps/app.xml" ContentType="application/vnd.openxmlformats-officedocument.extended-properties+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docProps/core.xml" ContentType="application/vnd.openxmlformats-package.core-properties+xml"/>
  <Override PartName="/word/styles.xml" ContentType="application/vnd.openxmlformats-officedocument.wordprocessingml.styles+xml"/>
  <Override PartName="/word/footnotes.xml" ContentType="application/vnd.openxmlformats-officedocument.wordprocessingml.footnotes+xml"/>
  <Override PartName="/word/theme/theme1.xml" ContentType="application/vnd.openxmlformats-officedocument.theme+xml"/>
  <Override PartName="/word/endnotes.xml" ContentType="application/vnd.openxmlformats-officedocument.wordprocessingml.endnotes+xml"/>
</Types>
</file>

<file path=_rels/.rels><?xml version="1.0" encoding="UTF-8" standalone="yes"?><Relationships xmlns="http://schemas.openxmlformats.org/package/2006/relationships"><Relationship Id="rId2" Type="http://schemas.openxmlformats.org/officeDocument/2006/relationships/extended-properties" Target="docProps/app.xml" /><Relationship Id="rId0" Type="http://schemas.openxmlformats.org/officeDocument/2006/relationships/officeDocument" Target="word/document.xml" /><Relationship Id="rId1" Type="http://schemas.openxmlformats.org/package/2006/relationships/metadata/core-properties" Target="docProps/core.xml" /></Relationships>
</file>

<file path=word/document.xml><?xml version="1.0" encoding="utf-8"?>
<w:document xmlns:w14="http://schemas.microsoft.com/office/word/2010/wordml" xmlns:w="http://schemas.openxmlformats.org/wordprocessingml/2006/main" xmlns:a="http://schemas.openxmlformats.org/drawingml/2006/main" xmlns:r="http://schemas.openxmlformats.org/officeDocument/2006/relationships" xmlns:wp="http://schemas.openxmlformats.org/drawingml/2006/wordprocessingDrawing" xmlns:pic="http://schemas.openxmlformats.org/drawingml/2006/picture" xmlns:w15="http://schemas.microsoft.com/office/word/2012/wordml">
  <w:body>
    <w:p>
      <w:pPr>
        <w:rPr>
          <w:rFonts w:hint="eastAsia" w:eastAsia="宋体"/>
          <w:lang w:val="en-US" w:eastAsia="zh-CN"/>
        </w:rPr>
      </w:pPr>
    </w:p>
    <w:p>
      <w:pPr>
        <w:keepNext w:val="false"/>
        <w:keepLines w:val="false"/>
        <w:pageBreakBefore w:val="false"/>
        <w:widowControl/>
        <w:suppressLineNumbers w:val="false"/>
        <w:kinsoku w:val="false"/>
        <w:wordWrap/>
        <w:overflowPunct/>
        <w:topLinePunct w:val="false"/>
        <w:autoSpaceDE w:val="false"/>
        <w:autoSpaceDN w:val="false"/>
        <w:bidi w:val="false"/>
        <w:adjustRightInd/>
        <w:snapToGrid/>
        <w:spacing w:before="1249" w:beforeLines="400" w:after="937" w:afterLines="300" w:line="360" w:lineRule="auto"/>
        <w:jc w:val="center"/>
        <w:textAlignment w:val="baseline"/>
        <w:outlineLvl w:val="9"/>
        <w:rPr>
          <w:rFonts w:hint="eastAsia" w:ascii="宋体" w:hAnsi="宋体" w:eastAsia="宋体" w:cs="宋体"/>
          <w:b/>
          <w:bCs/>
          <w:snapToGrid w:val="false"/>
          <w:color w:val="000000"/>
          <w:kern w:val="0"/>
          <w:sz w:val="52"/>
          <w:szCs w:val="52"/>
          <w:lang w:val="en-US" w:eastAsia="zh-CN"/>
        </w:rPr>
      </w:pPr>
      <w:r>
        <w:rPr>
          <w:rFonts w:ascii="宋体" w:hAnsi="宋体" w:eastAsia="宋体" w:cs="宋体"/>
          <w:b/>
          <w:i w:val="false"/>
          <w:strike w:val="false"/>
          <w:spacing w:val="0"/>
          <w:sz w:val="52"/>
          <w:u w:val="none"/>
        </w:rPr>
        <w:t>新乡市腾飞纸业有限公司</w:t>
      </w:r>
      <w:r>
        <w:rPr>
          <w:rFonts w:hint="eastAsia" w:ascii="宋体" w:hAnsi="宋体" w:eastAsia="宋体" w:cs="宋体"/>
          <w:b/>
          <w:bCs/>
          <w:snapToGrid w:val="false"/>
          <w:color w:val="000000"/>
          <w:kern w:val="0"/>
          <w:sz w:val="52"/>
          <w:szCs w:val="52"/>
          <w:lang w:val="en-US" w:eastAsia="zh-CN"/>
        </w:rPr>
        <w:t>源网荷储一体化项目</w:t>
      </w:r>
    </w:p>
    <w:p>
      <w:pPr>
        <w:keepNext w:val="false"/>
        <w:keepLines w:val="false"/>
        <w:pageBreakBefore w:val="false"/>
        <w:widowControl/>
        <w:suppressLineNumbers w:val="false"/>
        <w:kinsoku w:val="false"/>
        <w:wordWrap/>
        <w:overflowPunct/>
        <w:topLinePunct w:val="false"/>
        <w:autoSpaceDE w:val="false"/>
        <w:autoSpaceDN w:val="false"/>
        <w:bidi w:val="false"/>
        <w:adjustRightInd/>
        <w:snapToGrid/>
        <w:spacing w:before="1249" w:beforeLines="400" w:after="937" w:afterLines="300" w:line="360" w:lineRule="auto"/>
        <w:jc w:val="center"/>
        <w:textAlignment w:val="baseline"/>
        <w:rPr>
          <w:rFonts w:hint="eastAsia" w:ascii="宋体" w:hAnsi="宋体" w:eastAsia="宋体" w:cs="宋体"/>
          <w:sz w:val="52"/>
          <w:szCs w:val="52"/>
        </w:rPr>
      </w:pPr>
      <w:r>
        <w:rPr>
          <w:rFonts w:hint="eastAsia" w:ascii="宋体" w:hAnsi="宋体" w:eastAsia="宋体" w:cs="宋体"/>
          <w:b/>
          <w:bCs/>
          <w:snapToGrid w:val="false"/>
          <w:color w:val="000000"/>
          <w:kern w:val="0"/>
          <w:sz w:val="52"/>
          <w:szCs w:val="52"/>
          <w:lang w:val="en-US" w:eastAsia="zh-CN"/>
        </w:rPr>
        <w:t>可行性研究报告</w:t>
      </w:r>
    </w:p>
    <w:bookmarkStart w:id="1" w:name="_Toc3961"/>
    <w:p>
      <w:pPr>
        <w:keepNext w:val="false"/>
        <w:keepLines w:val="false"/>
        <w:pageBreakBefore w:val="false"/>
        <w:widowControl/>
        <w:kinsoku w:val="false"/>
        <w:wordWrap/>
        <w:overflowPunct/>
        <w:topLinePunct w:val="false"/>
        <w:autoSpaceDE w:val="false"/>
        <w:autoSpaceDN w:val="false"/>
        <w:bidi w:val="false"/>
        <w:adjustRightInd/>
        <w:snapToGrid/>
        <w:spacing w:before="0" w:beforeLines="100" w:after="0" w:afterLines="100" w:line="360" w:lineRule="auto"/>
        <w:ind w:firstLine="1446" w:firstLineChars="400"/>
        <w:jc w:val="left"/>
        <w:textAlignment w:val="baseline"/>
        <w:outlineLvl w:val="9"/>
        <w:rPr>
          <w:rFonts w:hint="eastAsia" w:ascii="宋体" w:hAnsi="宋体" w:eastAsia="宋体" w:cs="宋体"/>
          <w:b/>
          <w:bCs/>
          <w:sz w:val="36"/>
          <w:szCs w:val="36"/>
          <w:lang w:val="en-US" w:eastAsia="zh-CN"/>
        </w:rPr>
      </w:pP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100" w:after="0" w:afterLines="100" w:line="360" w:lineRule="auto"/>
        <w:ind w:firstLine="1446" w:firstLineChars="400"/>
        <w:jc w:val="left"/>
        <w:textAlignment w:val="baseline"/>
        <w:outlineLvl w:val="9"/>
        <w:rPr>
          <w:rFonts w:hint="eastAsia" w:ascii="宋体" w:hAnsi="宋体" w:eastAsia="宋体" w:cs="宋体"/>
          <w:b/>
          <w:bCs/>
          <w:sz w:val="36"/>
          <w:szCs w:val="36"/>
          <w:lang w:val="en-US" w:eastAsia="zh-CN"/>
        </w:rPr>
      </w:pP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100" w:after="0" w:afterLines="100" w:line="360" w:lineRule="auto"/>
        <w:ind w:firstLine="1446" w:firstLineChars="400"/>
        <w:jc w:val="left"/>
        <w:textAlignment w:val="baseline"/>
        <w:outlineLvl w:val="9"/>
        <w:rPr>
          <w:rFonts w:hint="eastAsia" w:ascii="宋体" w:hAnsi="宋体" w:eastAsia="宋体" w:cs="宋体"/>
          <w:b/>
          <w:bCs/>
          <w:sz w:val="36"/>
          <w:szCs w:val="36"/>
          <w:lang w:val="en-US" w:eastAsia="zh-CN"/>
        </w:rPr>
      </w:pP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100" w:after="0" w:afterLines="100" w:line="360" w:lineRule="auto"/>
        <w:ind w:firstLine="1446" w:firstLineChars="400"/>
        <w:jc w:val="left"/>
        <w:textAlignment w:val="baseline"/>
        <w:outlineLvl w:val="9"/>
        <w:rPr>
          <w:rFonts w:hint="eastAsia" w:ascii="宋体" w:hAnsi="宋体" w:eastAsia="宋体" w:cs="宋体"/>
          <w:b/>
          <w:bCs/>
          <w:sz w:val="36"/>
          <w:szCs w:val="36"/>
          <w:lang w:val="en-US" w:eastAsia="zh-CN"/>
        </w:rPr>
      </w:pP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100" w:after="0" w:afterLines="100" w:line="360" w:lineRule="auto"/>
        <w:ind w:firstLine="1446" w:firstLineChars="400"/>
        <w:jc w:val="left"/>
        <w:textAlignment w:val="baseline"/>
        <w:outlineLvl w:val="9"/>
        <w:rPr>
          <w:rFonts w:hint="eastAsia" w:ascii="宋体" w:hAnsi="宋体" w:eastAsia="宋体" w:cs="宋体"/>
          <w:b/>
          <w:bCs/>
          <w:sz w:val="36"/>
          <w:szCs w:val="36"/>
          <w:lang w:val="en-US" w:eastAsia="zh-CN"/>
        </w:rPr>
      </w:pP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100" w:after="0" w:afterLines="100" w:line="360" w:lineRule="auto"/>
        <w:ind w:firstLine="0" w:firstLineChars="0"/>
        <w:jc w:val="center"/>
        <w:textAlignment w:val="baseline"/>
        <w:outlineLvl w:val="9"/>
        <w:rPr>
          <w:rFonts w:hint="eastAsia" w:ascii="宋体" w:hAnsi="宋体" w:eastAsia="宋体" w:cs="宋体"/>
          <w:b/>
          <w:bCs/>
          <w:sz w:val="36"/>
          <w:szCs w:val="36"/>
          <w:lang w:val="en-US" w:eastAsia="zh-CN"/>
        </w:rPr>
      </w:pPr>
      <w:r>
        <w:rPr>
          <w:rFonts w:hint="eastAsia" w:ascii="宋体" w:hAnsi="宋体" w:eastAsia="宋体" w:cs="宋体"/>
          <w:b/>
          <w:bCs/>
          <w:sz w:val="36"/>
          <w:szCs w:val="36"/>
          <w:lang w:val="en-US" w:eastAsia="zh-CN"/>
        </w:rPr>
        <w:t>建设单位：</w:t>
      </w:r>
      <w:bookmarkEnd w:id="1"/>
      <w:r>
        <w:rPr>
          <w:rFonts w:hint="eastAsia" w:ascii="宋体" w:hAnsi="宋体" w:eastAsia="宋体" w:cs="宋体"/>
          <w:b/>
          <w:bCs/>
          <w:sz w:val="36"/>
          <w:szCs w:val="36"/>
          <w:lang w:val="en-US" w:eastAsia="zh-CN"/>
        </w:rPr>
        <w:t>获嘉县产业集聚区创业孵化园有限公司</w:t>
      </w:r>
    </w:p>
    <w:bookmarkStart w:id="2" w:name="_Toc32090"/>
    <w:p>
      <w:pPr>
        <w:keepNext w:val="false"/>
        <w:keepLines w:val="false"/>
        <w:pageBreakBefore w:val="false"/>
        <w:widowControl/>
        <w:kinsoku w:val="false"/>
        <w:wordWrap/>
        <w:overflowPunct/>
        <w:topLinePunct w:val="false"/>
        <w:autoSpaceDE w:val="false"/>
        <w:autoSpaceDN w:val="false"/>
        <w:bidi w:val="false"/>
        <w:adjustRightInd/>
        <w:snapToGrid/>
        <w:spacing w:before="0" w:beforeLines="100" w:after="0" w:afterLines="100" w:line="360" w:lineRule="auto"/>
        <w:ind w:firstLine="0" w:firstLineChars="0"/>
        <w:jc w:val="center"/>
        <w:textAlignment w:val="baseline"/>
        <w:outlineLvl w:val="9"/>
        <w:rPr>
          <w:rFonts w:hint="eastAsia" w:ascii="宋体" w:hAnsi="宋体" w:eastAsia="宋体" w:cs="宋体"/>
          <w:b/>
          <w:bCs/>
          <w:sz w:val="36"/>
          <w:szCs w:val="36"/>
          <w:lang w:val="en-US" w:eastAsia="zh-CN"/>
        </w:rPr>
      </w:pPr>
      <w:r>
        <w:rPr>
          <w:rFonts w:hint="eastAsia" w:ascii="宋体" w:hAnsi="宋体" w:eastAsia="宋体" w:cs="宋体"/>
          <w:b/>
          <w:bCs/>
          <w:sz w:val="36"/>
          <w:szCs w:val="36"/>
          <w:lang w:val="en-US" w:eastAsia="zh-CN"/>
        </w:rPr>
        <w:t>编制单位：北京新元工程咨询有限公司</w:t>
      </w:r>
      <w:bookmarkEnd w:id="2"/>
    </w:p>
    <w:p>
      <w:pPr>
        <w:keepNext w:val="false"/>
        <w:keepLines w:val="false"/>
        <w:pageBreakBefore w:val="false"/>
        <w:widowControl/>
        <w:pBdr>
          <w:bottom w:val="none" w:color="auto" w:sz="0" w:space="0"/>
        </w:pBdr>
        <w:kinsoku w:val="false"/>
        <w:wordWrap/>
        <w:overflowPunct/>
        <w:topLinePunct w:val="false"/>
        <w:autoSpaceDE w:val="false"/>
        <w:autoSpaceDN w:val="false"/>
        <w:bidi w:val="false"/>
        <w:adjustRightInd/>
        <w:snapToGrid/>
        <w:spacing w:before="0" w:beforeLines="100" w:after="0" w:afterLines="100" w:line="360" w:lineRule="auto"/>
        <w:ind w:firstLine="0" w:firstLineChars="0"/>
        <w:jc w:val="center"/>
        <w:textAlignment w:val="baseline"/>
        <w:outlineLvl w:val="9"/>
        <w:rPr>
          <w:rFonts w:hint="eastAsia" w:ascii="宋体" w:hAnsi="宋体" w:eastAsia="宋体" w:cs="宋体"/>
          <w:b/>
          <w:bCs/>
          <w:sz w:val="36"/>
          <w:szCs w:val="36"/>
          <w:lang w:val="en-US" w:eastAsia="zh-CN"/>
        </w:rPr>
      </w:pPr>
      <w:r>
        <w:rPr>
          <w:rFonts w:hint="eastAsia" w:ascii="宋体" w:hAnsi="宋体" w:eastAsia="宋体" w:cs="宋体"/>
          <w:b/>
          <w:bCs/>
          <w:sz w:val="36"/>
          <w:szCs w:val="36"/>
          <w:lang w:val="en-US" w:eastAsia="zh-CN"/>
        </w:rPr>
        <w:t>编制日期：2025年1月</w:t>
      </w:r>
    </w:p>
    <w:sdt>
      <w:sdtPr>
        <w:rPr>
          <w:rFonts w:ascii="宋体" w:hAnsi="宋体" w:eastAsia="宋体" w:cs="Arial"/>
          <w:snapToGrid w:val="false"/>
          <w:color w:val="000000"/>
          <w:kern w:val="0"/>
          <w:sz w:val="21"/>
          <w:szCs w:val="21"/>
          <w:lang w:val="en-US" w:eastAsia="en-US" w:bidi="ar-SA"/>
        </w:rPr>
        <w:id w:val="147457988"/>
        <w15:color w:val="DBDBDB"/>
        <w:docPartObj>
          <w:docPartGallery w:val="Table of Contents"/>
          <w:docPartUnique/>
        </w:docPartObj>
      </w:sdtPr>
      <w:sdtEndPr>
        <w:rPr>
          <w:rFonts w:ascii="宋体" w:hAnsi="宋体" w:eastAsia="宋体" w:cs="Arial"/>
          <w:b/>
          <w:snapToGrid w:val="false"/>
          <w:color w:val="000000"/>
          <w:kern w:val="0"/>
          <w:sz w:val="21"/>
          <w:szCs w:val="21"/>
          <w:lang w:val="en-US" w:eastAsia="en-US" w:bidi="ar-SA"/>
        </w:rPr>
      </w:sdtEndPr>
      <w:sdtContent>
        <w:p>
          <w:pPr>
            <w:keepNext w:val="false"/>
            <w:keepLines w:val="false"/>
            <w:pageBreakBefore w:val="false"/>
            <w:widowControl/>
            <w:wordWrap/>
            <w:overflowPunct/>
            <w:topLinePunct w:val="false"/>
            <w:bidi w:val="false"/>
            <w:spacing w:before="0" w:beforeLines="0" w:after="0" w:afterLines="0" w:line="360" w:lineRule="auto"/>
            <w:ind w:left="0" w:leftChars="0" w:right="0" w:rightChars="0" w:firstLine="0" w:firstLineChars="0"/>
            <w:jc w:val="center"/>
            <w:rPr>
              <w:rFonts w:hint="eastAsia" w:ascii="宋体" w:hAnsi="宋体" w:eastAsia="宋体" w:cs="宋体"/>
              <w:b/>
              <w:bCs/>
              <w:sz w:val="44"/>
              <w:szCs w:val="44"/>
            </w:rPr>
          </w:pPr>
          <w:r>
            <w:rPr>
              <w:rFonts w:hint="eastAsia" w:ascii="宋体" w:hAnsi="宋体" w:eastAsia="宋体" w:cs="宋体"/>
              <w:b/>
              <w:bCs/>
              <w:sz w:val="44"/>
              <w:szCs w:val="44"/>
            </w:rPr>
            <w:t>目录</w:t>
          </w:r>
        </w:p>
        <w:p>
          <w:pPr>
            <w:pStyle w:val="000011"/>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TOC \o "1-2" \h \u </w:instrText>
          </w:r>
          <w:r>
            <w:rPr>
              <w:rFonts w:hint="eastAsia" w:ascii="宋体" w:hAnsi="宋体" w:eastAsia="宋体" w:cs="宋体"/>
              <w:sz w:val="24"/>
              <w:szCs w:val="24"/>
            </w:rPr>
            <w:fldChar w:fldCharType="separate"/>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_Toc28585 </w:instrText>
          </w:r>
          <w:r>
            <w:rPr>
              <w:rFonts w:hint="eastAsia" w:ascii="宋体" w:hAnsi="宋体" w:eastAsia="宋体" w:cs="宋体"/>
              <w:sz w:val="24"/>
              <w:szCs w:val="24"/>
            </w:rPr>
            <w:fldChar w:fldCharType="separate"/>
          </w:r>
          <w:r>
            <w:rPr>
              <w:rFonts w:hint="eastAsia" w:ascii="宋体" w:hAnsi="宋体" w:eastAsia="宋体" w:cs="宋体"/>
              <w:bCs/>
              <w:sz w:val="24"/>
              <w:szCs w:val="24"/>
            </w:rPr>
            <w:t>第一章 总论</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_Toc28585 \h </w:instrText>
          </w:r>
          <w:r>
            <w:rPr>
              <w:rFonts w:hint="eastAsia" w:ascii="宋体" w:hAnsi="宋体" w:eastAsia="宋体" w:cs="宋体"/>
              <w:sz w:val="24"/>
              <w:szCs w:val="24"/>
            </w:rPr>
            <w:fldChar w:fldCharType="separate"/>
          </w:r>
          <w:r>
            <w:rPr>
              <w:rFonts w:hint="eastAsia" w:ascii="宋体" w:hAnsi="宋体" w:eastAsia="宋体" w:cs="宋体"/>
              <w:sz w:val="24"/>
              <w:szCs w:val="24"/>
            </w:rPr>
            <w:t>1</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_Toc10315 </w:instrText>
          </w:r>
          <w:r>
            <w:rPr>
              <w:rFonts w:hint="eastAsia" w:ascii="宋体" w:hAnsi="宋体" w:eastAsia="宋体" w:cs="宋体"/>
              <w:sz w:val="24"/>
              <w:szCs w:val="24"/>
            </w:rPr>
            <w:fldChar w:fldCharType="separate"/>
          </w:r>
          <w:r>
            <w:rPr>
              <w:rFonts w:hint="eastAsia" w:ascii="宋体" w:hAnsi="宋体" w:eastAsia="宋体" w:cs="宋体"/>
              <w:bCs/>
              <w:sz w:val="24"/>
              <w:szCs w:val="24"/>
              <w:lang w:val="en-US" w:eastAsia="zh-CN"/>
            </w:rPr>
            <w:t>1.1 项目概况</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_Toc10315 \h </w:instrText>
          </w:r>
          <w:r>
            <w:rPr>
              <w:rFonts w:hint="eastAsia" w:ascii="宋体" w:hAnsi="宋体" w:eastAsia="宋体" w:cs="宋体"/>
              <w:sz w:val="24"/>
              <w:szCs w:val="24"/>
            </w:rPr>
            <w:fldChar w:fldCharType="separate"/>
          </w:r>
          <w:r>
            <w:rPr>
              <w:rFonts w:hint="eastAsia" w:ascii="宋体" w:hAnsi="宋体" w:eastAsia="宋体" w:cs="宋体"/>
              <w:sz w:val="24"/>
              <w:szCs w:val="24"/>
            </w:rPr>
            <w:t>1</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_Toc9154 </w:instrText>
          </w:r>
          <w:r>
            <w:rPr>
              <w:rFonts w:hint="eastAsia" w:ascii="宋体" w:hAnsi="宋体" w:eastAsia="宋体" w:cs="宋体"/>
              <w:sz w:val="24"/>
              <w:szCs w:val="24"/>
            </w:rPr>
            <w:fldChar w:fldCharType="separate"/>
          </w:r>
          <w:r>
            <w:rPr>
              <w:rFonts w:hint="eastAsia" w:ascii="宋体" w:hAnsi="宋体" w:eastAsia="宋体" w:cs="宋体"/>
              <w:bCs/>
              <w:sz w:val="24"/>
              <w:szCs w:val="24"/>
              <w:lang w:val="en-US" w:eastAsia="zh-CN"/>
            </w:rPr>
            <w:t>1.2 企业及实际控制人概况</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_Toc9154 \h </w:instrText>
          </w:r>
          <w:r>
            <w:rPr>
              <w:rFonts w:hint="eastAsia" w:ascii="宋体" w:hAnsi="宋体" w:eastAsia="宋体" w:cs="宋体"/>
              <w:sz w:val="24"/>
              <w:szCs w:val="24"/>
            </w:rPr>
            <w:fldChar w:fldCharType="separate"/>
          </w:r>
          <w:r>
            <w:rPr>
              <w:rFonts w:hint="eastAsia" w:ascii="宋体" w:hAnsi="宋体" w:eastAsia="宋体" w:cs="宋体"/>
              <w:sz w:val="24"/>
              <w:szCs w:val="24"/>
            </w:rPr>
            <w:t>5</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_Toc23991 </w:instrText>
          </w:r>
          <w:r>
            <w:rPr>
              <w:rFonts w:hint="eastAsia" w:ascii="宋体" w:hAnsi="宋体" w:eastAsia="宋体" w:cs="宋体"/>
              <w:sz w:val="24"/>
              <w:szCs w:val="24"/>
            </w:rPr>
            <w:fldChar w:fldCharType="separate"/>
          </w:r>
          <w:r>
            <w:rPr>
              <w:rFonts w:hint="eastAsia" w:ascii="宋体" w:hAnsi="宋体" w:eastAsia="宋体" w:cs="宋体"/>
              <w:bCs/>
              <w:sz w:val="24"/>
              <w:szCs w:val="24"/>
              <w:lang w:val="en-US" w:eastAsia="zh-CN"/>
            </w:rPr>
            <w:t>1.3 编制依据</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_Toc23991 \h </w:instrText>
          </w:r>
          <w:r>
            <w:rPr>
              <w:rFonts w:hint="eastAsia" w:ascii="宋体" w:hAnsi="宋体" w:eastAsia="宋体" w:cs="宋体"/>
              <w:sz w:val="24"/>
              <w:szCs w:val="24"/>
            </w:rPr>
            <w:fldChar w:fldCharType="separate"/>
          </w:r>
          <w:r>
            <w:rPr>
              <w:rFonts w:hint="eastAsia" w:ascii="宋体" w:hAnsi="宋体" w:eastAsia="宋体" w:cs="宋体"/>
              <w:sz w:val="24"/>
              <w:szCs w:val="24"/>
            </w:rPr>
            <w:t>6</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_Toc5498 </w:instrText>
          </w:r>
          <w:r>
            <w:rPr>
              <w:rFonts w:hint="eastAsia" w:ascii="宋体" w:hAnsi="宋体" w:eastAsia="宋体" w:cs="宋体"/>
              <w:sz w:val="24"/>
              <w:szCs w:val="24"/>
            </w:rPr>
            <w:fldChar w:fldCharType="separate"/>
          </w:r>
          <w:r>
            <w:rPr>
              <w:rFonts w:hint="eastAsia" w:ascii="宋体" w:hAnsi="宋体" w:eastAsia="宋体" w:cs="宋体"/>
              <w:bCs/>
              <w:sz w:val="24"/>
              <w:szCs w:val="24"/>
              <w:lang w:val="en-US" w:eastAsia="zh-CN"/>
            </w:rPr>
            <w:t>1.4 研究范围</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_Toc5498 \h </w:instrText>
          </w:r>
          <w:r>
            <w:rPr>
              <w:rFonts w:hint="eastAsia" w:ascii="宋体" w:hAnsi="宋体" w:eastAsia="宋体" w:cs="宋体"/>
              <w:sz w:val="24"/>
              <w:szCs w:val="24"/>
            </w:rPr>
            <w:fldChar w:fldCharType="separate"/>
          </w:r>
          <w:r>
            <w:rPr>
              <w:rFonts w:hint="eastAsia" w:ascii="宋体" w:hAnsi="宋体" w:eastAsia="宋体" w:cs="宋体"/>
              <w:sz w:val="24"/>
              <w:szCs w:val="24"/>
            </w:rPr>
            <w:t>8</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_Toc15683 </w:instrText>
          </w:r>
          <w:r>
            <w:rPr>
              <w:rFonts w:hint="eastAsia" w:ascii="宋体" w:hAnsi="宋体" w:eastAsia="宋体" w:cs="宋体"/>
              <w:sz w:val="24"/>
              <w:szCs w:val="24"/>
            </w:rPr>
            <w:fldChar w:fldCharType="separate"/>
          </w:r>
          <w:r>
            <w:rPr>
              <w:rFonts w:hint="eastAsia" w:ascii="宋体" w:hAnsi="宋体" w:eastAsia="宋体" w:cs="宋体"/>
              <w:bCs/>
              <w:sz w:val="24"/>
              <w:szCs w:val="24"/>
              <w:lang w:val="en-US" w:eastAsia="zh-CN"/>
            </w:rPr>
            <w:t>1.5 结论及建议</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_Toc15683 \h </w:instrText>
          </w:r>
          <w:r>
            <w:rPr>
              <w:rFonts w:hint="eastAsia" w:ascii="宋体" w:hAnsi="宋体" w:eastAsia="宋体" w:cs="宋体"/>
              <w:sz w:val="24"/>
              <w:szCs w:val="24"/>
            </w:rPr>
            <w:fldChar w:fldCharType="separate"/>
          </w:r>
          <w:r>
            <w:rPr>
              <w:rFonts w:hint="eastAsia" w:ascii="宋体" w:hAnsi="宋体" w:eastAsia="宋体" w:cs="宋体"/>
              <w:sz w:val="24"/>
              <w:szCs w:val="24"/>
            </w:rPr>
            <w:t>8</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1"/>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_Toc6369 </w:instrText>
          </w:r>
          <w:r>
            <w:rPr>
              <w:rFonts w:hint="eastAsia" w:ascii="宋体" w:hAnsi="宋体" w:eastAsia="宋体" w:cs="宋体"/>
              <w:sz w:val="24"/>
              <w:szCs w:val="24"/>
            </w:rPr>
            <w:fldChar w:fldCharType="separate"/>
          </w:r>
          <w:r>
            <w:rPr>
              <w:rFonts w:hint="eastAsia" w:ascii="宋体" w:hAnsi="宋体" w:eastAsia="宋体" w:cs="宋体"/>
              <w:bCs/>
              <w:sz w:val="24"/>
              <w:szCs w:val="24"/>
            </w:rPr>
            <w:t>第二章 项目建设背景及必要性</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_Toc6369 \h </w:instrText>
          </w:r>
          <w:r>
            <w:rPr>
              <w:rFonts w:hint="eastAsia" w:ascii="宋体" w:hAnsi="宋体" w:eastAsia="宋体" w:cs="宋体"/>
              <w:sz w:val="24"/>
              <w:szCs w:val="24"/>
            </w:rPr>
            <w:fldChar w:fldCharType="separate"/>
          </w:r>
          <w:r>
            <w:rPr>
              <w:rFonts w:hint="eastAsia" w:ascii="宋体" w:hAnsi="宋体" w:eastAsia="宋体" w:cs="宋体"/>
              <w:sz w:val="24"/>
              <w:szCs w:val="24"/>
            </w:rPr>
            <w:t>10</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_Toc3210 </w:instrText>
          </w:r>
          <w:r>
            <w:rPr>
              <w:rFonts w:hint="eastAsia" w:ascii="宋体" w:hAnsi="宋体" w:eastAsia="宋体" w:cs="宋体"/>
              <w:sz w:val="24"/>
              <w:szCs w:val="24"/>
            </w:rPr>
            <w:fldChar w:fldCharType="separate"/>
          </w:r>
          <w:r>
            <w:rPr>
              <w:rFonts w:hint="eastAsia" w:ascii="宋体" w:hAnsi="宋体" w:eastAsia="宋体" w:cs="宋体"/>
              <w:bCs/>
              <w:sz w:val="24"/>
              <w:szCs w:val="24"/>
            </w:rPr>
            <w:t>2.1 规划政策符合性</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_Toc3210 \h </w:instrText>
          </w:r>
          <w:r>
            <w:rPr>
              <w:rFonts w:hint="eastAsia" w:ascii="宋体" w:hAnsi="宋体" w:eastAsia="宋体" w:cs="宋体"/>
              <w:sz w:val="24"/>
              <w:szCs w:val="24"/>
            </w:rPr>
            <w:fldChar w:fldCharType="separate"/>
          </w:r>
          <w:r>
            <w:rPr>
              <w:rFonts w:hint="eastAsia" w:ascii="宋体" w:hAnsi="宋体" w:eastAsia="宋体" w:cs="宋体"/>
              <w:sz w:val="24"/>
              <w:szCs w:val="24"/>
            </w:rPr>
            <w:t>10</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_Toc24498 </w:instrText>
          </w:r>
          <w:r>
            <w:rPr>
              <w:rFonts w:hint="eastAsia" w:ascii="宋体" w:hAnsi="宋体" w:eastAsia="宋体" w:cs="宋体"/>
              <w:sz w:val="24"/>
              <w:szCs w:val="24"/>
            </w:rPr>
            <w:fldChar w:fldCharType="separate"/>
          </w:r>
          <w:r>
            <w:rPr>
              <w:rFonts w:hint="eastAsia" w:ascii="宋体" w:hAnsi="宋体" w:eastAsia="宋体" w:cs="宋体"/>
              <w:bCs/>
              <w:sz w:val="24"/>
              <w:szCs w:val="24"/>
            </w:rPr>
            <w:t>2.2 项目主体发展战略需求分析</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_Toc24498 \h </w:instrText>
          </w:r>
          <w:r>
            <w:rPr>
              <w:rFonts w:hint="eastAsia" w:ascii="宋体" w:hAnsi="宋体" w:eastAsia="宋体" w:cs="宋体"/>
              <w:sz w:val="24"/>
              <w:szCs w:val="24"/>
            </w:rPr>
            <w:fldChar w:fldCharType="separate"/>
          </w:r>
          <w:r>
            <w:rPr>
              <w:rFonts w:hint="eastAsia" w:ascii="宋体" w:hAnsi="宋体" w:eastAsia="宋体" w:cs="宋体"/>
              <w:sz w:val="24"/>
              <w:szCs w:val="24"/>
            </w:rPr>
            <w:t>17</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_Toc22213 </w:instrText>
          </w:r>
          <w:r>
            <w:rPr>
              <w:rFonts w:hint="eastAsia" w:ascii="宋体" w:hAnsi="宋体" w:eastAsia="宋体" w:cs="宋体"/>
              <w:sz w:val="24"/>
              <w:szCs w:val="24"/>
            </w:rPr>
            <w:fldChar w:fldCharType="separate"/>
          </w:r>
          <w:r>
            <w:rPr>
              <w:rFonts w:hint="eastAsia" w:ascii="宋体" w:hAnsi="宋体" w:eastAsia="宋体" w:cs="宋体"/>
              <w:bCs/>
              <w:sz w:val="24"/>
              <w:szCs w:val="24"/>
            </w:rPr>
            <w:t>2.3 项目市场需求分析</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_Toc22213 \h </w:instrText>
          </w:r>
          <w:r>
            <w:rPr>
              <w:rFonts w:hint="eastAsia" w:ascii="宋体" w:hAnsi="宋体" w:eastAsia="宋体" w:cs="宋体"/>
              <w:sz w:val="24"/>
              <w:szCs w:val="24"/>
            </w:rPr>
            <w:fldChar w:fldCharType="separate"/>
          </w:r>
          <w:r>
            <w:rPr>
              <w:rFonts w:hint="eastAsia" w:ascii="宋体" w:hAnsi="宋体" w:eastAsia="宋体" w:cs="宋体"/>
              <w:sz w:val="24"/>
              <w:szCs w:val="24"/>
            </w:rPr>
            <w:t>19</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_Toc28445 </w:instrText>
          </w:r>
          <w:r>
            <w:rPr>
              <w:rFonts w:hint="eastAsia" w:ascii="宋体" w:hAnsi="宋体" w:eastAsia="宋体" w:cs="宋体"/>
              <w:sz w:val="24"/>
              <w:szCs w:val="24"/>
            </w:rPr>
            <w:fldChar w:fldCharType="separate"/>
          </w:r>
          <w:r>
            <w:rPr>
              <w:rFonts w:hint="eastAsia" w:ascii="宋体" w:hAnsi="宋体" w:eastAsia="宋体" w:cs="宋体"/>
              <w:bCs/>
              <w:sz w:val="24"/>
              <w:szCs w:val="24"/>
            </w:rPr>
            <w:t>2.4 项目建设内容、规模及产出</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_Toc28445 \h </w:instrText>
          </w:r>
          <w:r>
            <w:rPr>
              <w:rFonts w:hint="eastAsia" w:ascii="宋体" w:hAnsi="宋体" w:eastAsia="宋体" w:cs="宋体"/>
              <w:sz w:val="24"/>
              <w:szCs w:val="24"/>
            </w:rPr>
            <w:fldChar w:fldCharType="separate"/>
          </w:r>
          <w:r>
            <w:rPr>
              <w:rFonts w:hint="eastAsia" w:ascii="宋体" w:hAnsi="宋体" w:eastAsia="宋体" w:cs="宋体"/>
              <w:sz w:val="24"/>
              <w:szCs w:val="24"/>
            </w:rPr>
            <w:t>29</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_Toc32718 </w:instrText>
          </w:r>
          <w:r>
            <w:rPr>
              <w:rFonts w:hint="eastAsia" w:ascii="宋体" w:hAnsi="宋体" w:eastAsia="宋体" w:cs="宋体"/>
              <w:sz w:val="24"/>
              <w:szCs w:val="24"/>
            </w:rPr>
            <w:fldChar w:fldCharType="separate"/>
          </w:r>
          <w:r>
            <w:rPr>
              <w:rFonts w:hint="eastAsia" w:ascii="宋体" w:hAnsi="宋体" w:eastAsia="宋体" w:cs="宋体"/>
              <w:bCs/>
              <w:sz w:val="24"/>
              <w:szCs w:val="24"/>
            </w:rPr>
            <w:t>2.5 项目商业模式</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_Toc32718 \h </w:instrText>
          </w:r>
          <w:r>
            <w:rPr>
              <w:rFonts w:hint="eastAsia" w:ascii="宋体" w:hAnsi="宋体" w:eastAsia="宋体" w:cs="宋体"/>
              <w:sz w:val="24"/>
              <w:szCs w:val="24"/>
            </w:rPr>
            <w:fldChar w:fldCharType="separate"/>
          </w:r>
          <w:r>
            <w:rPr>
              <w:rFonts w:hint="eastAsia" w:ascii="宋体" w:hAnsi="宋体" w:eastAsia="宋体" w:cs="宋体"/>
              <w:sz w:val="24"/>
              <w:szCs w:val="24"/>
            </w:rPr>
            <w:t>31</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1"/>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_Toc2364 </w:instrText>
          </w:r>
          <w:r>
            <w:rPr>
              <w:rFonts w:hint="eastAsia" w:ascii="宋体" w:hAnsi="宋体" w:eastAsia="宋体" w:cs="宋体"/>
              <w:sz w:val="24"/>
              <w:szCs w:val="24"/>
            </w:rPr>
            <w:fldChar w:fldCharType="separate"/>
          </w:r>
          <w:r>
            <w:rPr>
              <w:rFonts w:hint="eastAsia" w:ascii="宋体" w:hAnsi="宋体" w:eastAsia="宋体" w:cs="宋体"/>
              <w:bCs/>
              <w:sz w:val="24"/>
              <w:szCs w:val="24"/>
              <w:lang w:val="en-US" w:eastAsia="zh-CN"/>
            </w:rPr>
            <w:t>第三章 项目选址与要素保障</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_Toc2364 \h </w:instrText>
          </w:r>
          <w:r>
            <w:rPr>
              <w:rFonts w:hint="eastAsia" w:ascii="宋体" w:hAnsi="宋体" w:eastAsia="宋体" w:cs="宋体"/>
              <w:sz w:val="24"/>
              <w:szCs w:val="24"/>
            </w:rPr>
            <w:fldChar w:fldCharType="separate"/>
          </w:r>
          <w:r>
            <w:rPr>
              <w:rFonts w:hint="eastAsia" w:ascii="宋体" w:hAnsi="宋体" w:eastAsia="宋体" w:cs="宋体"/>
              <w:sz w:val="24"/>
              <w:szCs w:val="24"/>
            </w:rPr>
            <w:t>36</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_Toc8289 </w:instrText>
          </w:r>
          <w:r>
            <w:rPr>
              <w:rFonts w:hint="eastAsia" w:ascii="宋体" w:hAnsi="宋体" w:eastAsia="宋体" w:cs="宋体"/>
              <w:sz w:val="24"/>
              <w:szCs w:val="24"/>
            </w:rPr>
            <w:fldChar w:fldCharType="separate"/>
          </w:r>
          <w:r>
            <w:rPr>
              <w:rFonts w:hint="eastAsia" w:ascii="宋体" w:hAnsi="宋体" w:eastAsia="宋体" w:cs="宋体"/>
              <w:bCs/>
              <w:sz w:val="24"/>
              <w:szCs w:val="24"/>
            </w:rPr>
            <w:t>3.1 项目地址</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_Toc8289 \h </w:instrText>
          </w:r>
          <w:r>
            <w:rPr>
              <w:rFonts w:hint="eastAsia" w:ascii="宋体" w:hAnsi="宋体" w:eastAsia="宋体" w:cs="宋体"/>
              <w:sz w:val="24"/>
              <w:szCs w:val="24"/>
            </w:rPr>
            <w:fldChar w:fldCharType="separate"/>
          </w:r>
          <w:r>
            <w:rPr>
              <w:rFonts w:hint="eastAsia" w:ascii="宋体" w:hAnsi="宋体" w:eastAsia="宋体" w:cs="宋体"/>
              <w:sz w:val="24"/>
              <w:szCs w:val="24"/>
            </w:rPr>
            <w:t>36</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_Toc20184 </w:instrText>
          </w:r>
          <w:r>
            <w:rPr>
              <w:rFonts w:hint="eastAsia" w:ascii="宋体" w:hAnsi="宋体" w:eastAsia="宋体" w:cs="宋体"/>
              <w:sz w:val="24"/>
              <w:szCs w:val="24"/>
            </w:rPr>
            <w:fldChar w:fldCharType="separate"/>
          </w:r>
          <w:r>
            <w:rPr>
              <w:rFonts w:hint="eastAsia" w:ascii="宋体" w:hAnsi="宋体" w:eastAsia="宋体" w:cs="宋体"/>
              <w:bCs/>
              <w:sz w:val="24"/>
              <w:szCs w:val="24"/>
            </w:rPr>
            <w:t>3.2 项目建设条件</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_Toc20184 \h </w:instrText>
          </w:r>
          <w:r>
            <w:rPr>
              <w:rFonts w:hint="eastAsia" w:ascii="宋体" w:hAnsi="宋体" w:eastAsia="宋体" w:cs="宋体"/>
              <w:sz w:val="24"/>
              <w:szCs w:val="24"/>
            </w:rPr>
            <w:fldChar w:fldCharType="separate"/>
          </w:r>
          <w:r>
            <w:rPr>
              <w:rFonts w:hint="eastAsia" w:ascii="宋体" w:hAnsi="宋体" w:eastAsia="宋体" w:cs="宋体"/>
              <w:sz w:val="24"/>
              <w:szCs w:val="24"/>
            </w:rPr>
            <w:t>36</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_Toc32047 </w:instrText>
          </w:r>
          <w:r>
            <w:rPr>
              <w:rFonts w:hint="eastAsia" w:ascii="宋体" w:hAnsi="宋体" w:eastAsia="宋体" w:cs="宋体"/>
              <w:sz w:val="24"/>
              <w:szCs w:val="24"/>
            </w:rPr>
            <w:fldChar w:fldCharType="separate"/>
          </w:r>
          <w:r>
            <w:rPr>
              <w:rFonts w:hint="eastAsia" w:ascii="宋体" w:hAnsi="宋体" w:eastAsia="宋体" w:cs="宋体"/>
              <w:i w:val="false"/>
              <w:strike w:val="false"/>
              <w:spacing w:val="0"/>
              <w:sz w:val="24"/>
              <w:szCs w:val="24"/>
              <w:vertAlign w:val="baseline"/>
            </w:rPr>
            <w:t>3.3 要素保障分析</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_Toc32047 \h </w:instrText>
          </w:r>
          <w:r>
            <w:rPr>
              <w:rFonts w:hint="eastAsia" w:ascii="宋体" w:hAnsi="宋体" w:eastAsia="宋体" w:cs="宋体"/>
              <w:sz w:val="24"/>
              <w:szCs w:val="24"/>
            </w:rPr>
            <w:fldChar w:fldCharType="separate"/>
          </w:r>
          <w:r>
            <w:rPr>
              <w:rFonts w:hint="eastAsia" w:ascii="宋体" w:hAnsi="宋体" w:eastAsia="宋体" w:cs="宋体"/>
              <w:sz w:val="24"/>
              <w:szCs w:val="24"/>
            </w:rPr>
            <w:t>40</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1"/>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_Toc17573 </w:instrText>
          </w:r>
          <w:r>
            <w:rPr>
              <w:rFonts w:hint="eastAsia" w:ascii="宋体" w:hAnsi="宋体" w:eastAsia="宋体" w:cs="宋体"/>
              <w:sz w:val="24"/>
              <w:szCs w:val="24"/>
            </w:rPr>
            <w:fldChar w:fldCharType="separate"/>
          </w:r>
          <w:r>
            <w:rPr>
              <w:rFonts w:hint="eastAsia" w:ascii="宋体" w:hAnsi="宋体" w:eastAsia="宋体" w:cs="宋体"/>
              <w:bCs/>
              <w:sz w:val="24"/>
              <w:szCs w:val="24"/>
              <w:lang w:val="en-US" w:eastAsia="zh-CN"/>
            </w:rPr>
            <w:t>第四章 项目建设方案</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_Toc17573 \h </w:instrText>
          </w:r>
          <w:r>
            <w:rPr>
              <w:rFonts w:hint="eastAsia" w:ascii="宋体" w:hAnsi="宋体" w:eastAsia="宋体" w:cs="宋体"/>
              <w:sz w:val="24"/>
              <w:szCs w:val="24"/>
            </w:rPr>
            <w:fldChar w:fldCharType="separate"/>
          </w:r>
          <w:r>
            <w:rPr>
              <w:rFonts w:hint="eastAsia" w:ascii="宋体" w:hAnsi="宋体" w:eastAsia="宋体" w:cs="宋体"/>
              <w:sz w:val="24"/>
              <w:szCs w:val="24"/>
            </w:rPr>
            <w:t>42</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_Toc14272 </w:instrText>
          </w:r>
          <w:r>
            <w:rPr>
              <w:rFonts w:hint="eastAsia" w:ascii="宋体" w:hAnsi="宋体" w:eastAsia="宋体" w:cs="宋体"/>
              <w:sz w:val="24"/>
              <w:szCs w:val="24"/>
            </w:rPr>
            <w:fldChar w:fldCharType="separate"/>
          </w:r>
          <w:r>
            <w:rPr>
              <w:rFonts w:hint="eastAsia" w:ascii="宋体" w:hAnsi="宋体" w:eastAsia="宋体" w:cs="宋体"/>
              <w:bCs/>
              <w:sz w:val="24"/>
              <w:szCs w:val="24"/>
            </w:rPr>
            <w:t>4.1 技术方案</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_Toc14272 \h </w:instrText>
          </w:r>
          <w:r>
            <w:rPr>
              <w:rFonts w:hint="eastAsia" w:ascii="宋体" w:hAnsi="宋体" w:eastAsia="宋体" w:cs="宋体"/>
              <w:sz w:val="24"/>
              <w:szCs w:val="24"/>
            </w:rPr>
            <w:fldChar w:fldCharType="separate"/>
          </w:r>
          <w:r>
            <w:rPr>
              <w:rFonts w:hint="eastAsia" w:ascii="宋体" w:hAnsi="宋体" w:eastAsia="宋体" w:cs="宋体"/>
              <w:sz w:val="24"/>
              <w:szCs w:val="24"/>
            </w:rPr>
            <w:t>42</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_Toc32551 </w:instrText>
          </w:r>
          <w:r>
            <w:rPr>
              <w:rFonts w:hint="eastAsia" w:ascii="宋体" w:hAnsi="宋体" w:eastAsia="宋体" w:cs="宋体"/>
              <w:sz w:val="24"/>
              <w:szCs w:val="24"/>
            </w:rPr>
            <w:fldChar w:fldCharType="separate"/>
          </w:r>
          <w:r>
            <w:rPr>
              <w:rFonts w:hint="eastAsia" w:ascii="宋体" w:hAnsi="宋体" w:eastAsia="宋体" w:cs="宋体"/>
              <w:bCs/>
              <w:sz w:val="24"/>
              <w:szCs w:val="24"/>
            </w:rPr>
            <w:t>4.2 设备方案</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_Toc32551 \h </w:instrText>
          </w:r>
          <w:r>
            <w:rPr>
              <w:rFonts w:hint="eastAsia" w:ascii="宋体" w:hAnsi="宋体" w:eastAsia="宋体" w:cs="宋体"/>
              <w:sz w:val="24"/>
              <w:szCs w:val="24"/>
            </w:rPr>
            <w:fldChar w:fldCharType="separate"/>
          </w:r>
          <w:r>
            <w:rPr>
              <w:rFonts w:hint="eastAsia" w:ascii="宋体" w:hAnsi="宋体" w:eastAsia="宋体" w:cs="宋体"/>
              <w:sz w:val="24"/>
              <w:szCs w:val="24"/>
            </w:rPr>
            <w:t>43</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_Toc3899 </w:instrText>
          </w:r>
          <w:r>
            <w:rPr>
              <w:rFonts w:hint="eastAsia" w:ascii="宋体" w:hAnsi="宋体" w:eastAsia="宋体" w:cs="宋体"/>
              <w:sz w:val="24"/>
              <w:szCs w:val="24"/>
            </w:rPr>
            <w:fldChar w:fldCharType="separate"/>
          </w:r>
          <w:r>
            <w:rPr>
              <w:rFonts w:hint="eastAsia" w:ascii="宋体" w:hAnsi="宋体" w:eastAsia="宋体" w:cs="宋体"/>
              <w:bCs/>
              <w:sz w:val="24"/>
              <w:szCs w:val="24"/>
              <w:lang w:val="en-US" w:eastAsia="zh-CN"/>
            </w:rPr>
            <w:t>4.3 储能系统配置方案</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_Toc3899 \h </w:instrText>
          </w:r>
          <w:r>
            <w:rPr>
              <w:rFonts w:hint="eastAsia" w:ascii="宋体" w:hAnsi="宋体" w:eastAsia="宋体" w:cs="宋体"/>
              <w:sz w:val="24"/>
              <w:szCs w:val="24"/>
            </w:rPr>
            <w:fldChar w:fldCharType="separate"/>
          </w:r>
          <w:r>
            <w:rPr>
              <w:rFonts w:hint="eastAsia" w:ascii="宋体" w:hAnsi="宋体" w:eastAsia="宋体" w:cs="宋体"/>
              <w:sz w:val="24"/>
              <w:szCs w:val="24"/>
            </w:rPr>
            <w:t>52</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_Toc4818 </w:instrText>
          </w:r>
          <w:r>
            <w:rPr>
              <w:rFonts w:hint="eastAsia" w:ascii="宋体" w:hAnsi="宋体" w:eastAsia="宋体" w:cs="宋体"/>
              <w:sz w:val="24"/>
              <w:szCs w:val="24"/>
            </w:rPr>
            <w:fldChar w:fldCharType="separate"/>
          </w:r>
          <w:r>
            <w:rPr>
              <w:rFonts w:hint="eastAsia" w:ascii="宋体" w:hAnsi="宋体" w:eastAsia="宋体" w:cs="宋体"/>
              <w:bCs/>
              <w:sz w:val="24"/>
              <w:szCs w:val="24"/>
              <w:lang w:val="en-US" w:eastAsia="zh-CN"/>
            </w:rPr>
            <w:t>4.4 建设管理方案</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_Toc4818 \h </w:instrText>
          </w:r>
          <w:r>
            <w:rPr>
              <w:rFonts w:hint="eastAsia" w:ascii="宋体" w:hAnsi="宋体" w:eastAsia="宋体" w:cs="宋体"/>
              <w:sz w:val="24"/>
              <w:szCs w:val="24"/>
            </w:rPr>
            <w:fldChar w:fldCharType="separate"/>
          </w:r>
          <w:r>
            <w:rPr>
              <w:rFonts w:hint="eastAsia" w:ascii="宋体" w:hAnsi="宋体" w:eastAsia="宋体" w:cs="宋体"/>
              <w:sz w:val="24"/>
              <w:szCs w:val="24"/>
            </w:rPr>
            <w:t>57</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1"/>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_Toc30856 </w:instrText>
          </w:r>
          <w:r>
            <w:rPr>
              <w:rFonts w:hint="eastAsia" w:ascii="宋体" w:hAnsi="宋体" w:eastAsia="宋体" w:cs="宋体"/>
              <w:sz w:val="24"/>
              <w:szCs w:val="24"/>
            </w:rPr>
            <w:fldChar w:fldCharType="separate"/>
          </w:r>
          <w:r>
            <w:rPr>
              <w:rFonts w:hint="eastAsia" w:ascii="宋体" w:hAnsi="宋体" w:eastAsia="宋体" w:cs="宋体"/>
              <w:bCs/>
              <w:sz w:val="24"/>
              <w:szCs w:val="24"/>
              <w:lang w:val="en-US" w:eastAsia="zh-CN"/>
            </w:rPr>
            <w:t>第五章 项目运营方案</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_Toc30856 \h </w:instrText>
          </w:r>
          <w:r>
            <w:rPr>
              <w:rFonts w:hint="eastAsia" w:ascii="宋体" w:hAnsi="宋体" w:eastAsia="宋体" w:cs="宋体"/>
              <w:sz w:val="24"/>
              <w:szCs w:val="24"/>
            </w:rPr>
            <w:fldChar w:fldCharType="separate"/>
          </w:r>
          <w:r>
            <w:rPr>
              <w:rFonts w:hint="eastAsia" w:ascii="宋体" w:hAnsi="宋体" w:eastAsia="宋体" w:cs="宋体"/>
              <w:sz w:val="24"/>
              <w:szCs w:val="24"/>
            </w:rPr>
            <w:t>68</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_Toc4649 </w:instrText>
          </w:r>
          <w:r>
            <w:rPr>
              <w:rFonts w:hint="eastAsia" w:ascii="宋体" w:hAnsi="宋体" w:eastAsia="宋体" w:cs="宋体"/>
              <w:sz w:val="24"/>
              <w:szCs w:val="24"/>
            </w:rPr>
            <w:fldChar w:fldCharType="separate"/>
          </w:r>
          <w:r>
            <w:rPr>
              <w:rFonts w:hint="eastAsia" w:ascii="宋体" w:hAnsi="宋体" w:eastAsia="宋体" w:cs="宋体"/>
              <w:bCs/>
              <w:sz w:val="24"/>
              <w:szCs w:val="24"/>
              <w:lang w:val="en-US" w:eastAsia="zh-CN"/>
            </w:rPr>
            <w:t>5.1 运营方案</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_Toc4649 \h </w:instrText>
          </w:r>
          <w:r>
            <w:rPr>
              <w:rFonts w:hint="eastAsia" w:ascii="宋体" w:hAnsi="宋体" w:eastAsia="宋体" w:cs="宋体"/>
              <w:sz w:val="24"/>
              <w:szCs w:val="24"/>
            </w:rPr>
            <w:fldChar w:fldCharType="separate"/>
          </w:r>
          <w:r>
            <w:rPr>
              <w:rFonts w:hint="eastAsia" w:ascii="宋体" w:hAnsi="宋体" w:eastAsia="宋体" w:cs="宋体"/>
              <w:sz w:val="24"/>
              <w:szCs w:val="24"/>
            </w:rPr>
            <w:t>68</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_Toc20585 </w:instrText>
          </w:r>
          <w:r>
            <w:rPr>
              <w:rFonts w:hint="eastAsia" w:ascii="宋体" w:hAnsi="宋体" w:eastAsia="宋体" w:cs="宋体"/>
              <w:sz w:val="24"/>
              <w:szCs w:val="24"/>
            </w:rPr>
            <w:fldChar w:fldCharType="separate"/>
          </w:r>
          <w:r>
            <w:rPr>
              <w:rFonts w:hint="eastAsia" w:ascii="宋体" w:hAnsi="宋体" w:eastAsia="宋体" w:cs="宋体"/>
              <w:bCs/>
              <w:sz w:val="24"/>
              <w:szCs w:val="24"/>
            </w:rPr>
            <w:t>5.2 安全保障方案</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_Toc20585 \h </w:instrText>
          </w:r>
          <w:r>
            <w:rPr>
              <w:rFonts w:hint="eastAsia" w:ascii="宋体" w:hAnsi="宋体" w:eastAsia="宋体" w:cs="宋体"/>
              <w:sz w:val="24"/>
              <w:szCs w:val="24"/>
            </w:rPr>
            <w:fldChar w:fldCharType="separate"/>
          </w:r>
          <w:r>
            <w:rPr>
              <w:rFonts w:hint="eastAsia" w:ascii="宋体" w:hAnsi="宋体" w:eastAsia="宋体" w:cs="宋体"/>
              <w:sz w:val="24"/>
              <w:szCs w:val="24"/>
            </w:rPr>
            <w:t>72</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_Toc29166 </w:instrText>
          </w:r>
          <w:r>
            <w:rPr>
              <w:rFonts w:hint="eastAsia" w:ascii="宋体" w:hAnsi="宋体" w:eastAsia="宋体" w:cs="宋体"/>
              <w:sz w:val="24"/>
              <w:szCs w:val="24"/>
            </w:rPr>
            <w:fldChar w:fldCharType="separate"/>
          </w:r>
          <w:r>
            <w:rPr>
              <w:rFonts w:hint="eastAsia" w:ascii="宋体" w:hAnsi="宋体" w:eastAsia="宋体" w:cs="宋体"/>
              <w:bCs/>
              <w:sz w:val="24"/>
              <w:szCs w:val="24"/>
            </w:rPr>
            <w:t>5.3 运营管理方案</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_Toc29166 \h </w:instrText>
          </w:r>
          <w:r>
            <w:rPr>
              <w:rFonts w:hint="eastAsia" w:ascii="宋体" w:hAnsi="宋体" w:eastAsia="宋体" w:cs="宋体"/>
              <w:sz w:val="24"/>
              <w:szCs w:val="24"/>
            </w:rPr>
            <w:fldChar w:fldCharType="separate"/>
          </w:r>
          <w:r>
            <w:rPr>
              <w:rFonts w:hint="eastAsia" w:ascii="宋体" w:hAnsi="宋体" w:eastAsia="宋体" w:cs="宋体"/>
              <w:sz w:val="24"/>
              <w:szCs w:val="24"/>
            </w:rPr>
            <w:t>73</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1"/>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_Toc16256 </w:instrText>
          </w:r>
          <w:r>
            <w:rPr>
              <w:rFonts w:hint="eastAsia" w:ascii="宋体" w:hAnsi="宋体" w:eastAsia="宋体" w:cs="宋体"/>
              <w:sz w:val="24"/>
              <w:szCs w:val="24"/>
            </w:rPr>
            <w:fldChar w:fldCharType="separate"/>
          </w:r>
          <w:r>
            <w:rPr>
              <w:rFonts w:hint="eastAsia" w:ascii="宋体" w:hAnsi="宋体" w:eastAsia="宋体" w:cs="宋体"/>
              <w:bCs/>
              <w:sz w:val="24"/>
              <w:szCs w:val="24"/>
              <w:lang w:val="en-US" w:eastAsia="zh-CN"/>
            </w:rPr>
            <w:t>第六章 项目投融资与财务方案</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_Toc16256 \h </w:instrText>
          </w:r>
          <w:r>
            <w:rPr>
              <w:rFonts w:hint="eastAsia" w:ascii="宋体" w:hAnsi="宋体" w:eastAsia="宋体" w:cs="宋体"/>
              <w:sz w:val="24"/>
              <w:szCs w:val="24"/>
            </w:rPr>
            <w:fldChar w:fldCharType="separate"/>
          </w:r>
          <w:r>
            <w:rPr>
              <w:rFonts w:hint="eastAsia" w:ascii="宋体" w:hAnsi="宋体" w:eastAsia="宋体" w:cs="宋体"/>
              <w:sz w:val="24"/>
              <w:szCs w:val="24"/>
            </w:rPr>
            <w:t>80</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_Toc11160 </w:instrText>
          </w:r>
          <w:r>
            <w:rPr>
              <w:rFonts w:hint="eastAsia" w:ascii="宋体" w:hAnsi="宋体" w:eastAsia="宋体" w:cs="宋体"/>
              <w:sz w:val="24"/>
              <w:szCs w:val="24"/>
            </w:rPr>
            <w:fldChar w:fldCharType="separate"/>
          </w:r>
          <w:r>
            <w:rPr>
              <w:rFonts w:hint="eastAsia" w:ascii="宋体" w:hAnsi="宋体" w:eastAsia="宋体" w:cs="宋体"/>
              <w:bCs/>
              <w:sz w:val="24"/>
              <w:szCs w:val="24"/>
            </w:rPr>
            <w:t>6.1 项目投资估算及说明</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_Toc11160 \h </w:instrText>
          </w:r>
          <w:r>
            <w:rPr>
              <w:rFonts w:hint="eastAsia" w:ascii="宋体" w:hAnsi="宋体" w:eastAsia="宋体" w:cs="宋体"/>
              <w:sz w:val="24"/>
              <w:szCs w:val="24"/>
            </w:rPr>
            <w:fldChar w:fldCharType="separate"/>
          </w:r>
          <w:r>
            <w:rPr>
              <w:rFonts w:hint="eastAsia" w:ascii="宋体" w:hAnsi="宋体" w:eastAsia="宋体" w:cs="宋体"/>
              <w:sz w:val="24"/>
              <w:szCs w:val="24"/>
            </w:rPr>
            <w:t>80</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_Toc26458 </w:instrText>
          </w:r>
          <w:r>
            <w:rPr>
              <w:rFonts w:hint="eastAsia" w:ascii="宋体" w:hAnsi="宋体" w:eastAsia="宋体" w:cs="宋体"/>
              <w:sz w:val="24"/>
              <w:szCs w:val="24"/>
            </w:rPr>
            <w:fldChar w:fldCharType="separate"/>
          </w:r>
          <w:r>
            <w:rPr>
              <w:rFonts w:hint="eastAsia" w:ascii="宋体" w:hAnsi="宋体" w:eastAsia="宋体" w:cs="宋体"/>
              <w:bCs/>
              <w:sz w:val="24"/>
              <w:szCs w:val="24"/>
            </w:rPr>
            <w:t>6.2 财务盈利能力分析</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_Toc26458 \h </w:instrText>
          </w:r>
          <w:r>
            <w:rPr>
              <w:rFonts w:hint="eastAsia" w:ascii="宋体" w:hAnsi="宋体" w:eastAsia="宋体" w:cs="宋体"/>
              <w:sz w:val="24"/>
              <w:szCs w:val="24"/>
            </w:rPr>
            <w:fldChar w:fldCharType="separate"/>
          </w:r>
          <w:r>
            <w:rPr>
              <w:rFonts w:hint="eastAsia" w:ascii="宋体" w:hAnsi="宋体" w:eastAsia="宋体" w:cs="宋体"/>
              <w:sz w:val="24"/>
              <w:szCs w:val="24"/>
            </w:rPr>
            <w:t>86</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_Toc30887 </w:instrText>
          </w:r>
          <w:r>
            <w:rPr>
              <w:rFonts w:hint="eastAsia" w:ascii="宋体" w:hAnsi="宋体" w:eastAsia="宋体" w:cs="宋体"/>
              <w:sz w:val="24"/>
              <w:szCs w:val="24"/>
            </w:rPr>
            <w:fldChar w:fldCharType="separate"/>
          </w:r>
          <w:r>
            <w:rPr>
              <w:rFonts w:hint="eastAsia" w:ascii="宋体" w:hAnsi="宋体" w:eastAsia="宋体" w:cs="宋体"/>
              <w:bCs/>
              <w:sz w:val="24"/>
              <w:szCs w:val="24"/>
            </w:rPr>
            <w:t>6.3 资金投入计划和筹措方案</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_Toc30887 \h </w:instrText>
          </w:r>
          <w:r>
            <w:rPr>
              <w:rFonts w:hint="eastAsia" w:ascii="宋体" w:hAnsi="宋体" w:eastAsia="宋体" w:cs="宋体"/>
              <w:sz w:val="24"/>
              <w:szCs w:val="24"/>
            </w:rPr>
            <w:fldChar w:fldCharType="separate"/>
          </w:r>
          <w:r>
            <w:rPr>
              <w:rFonts w:hint="eastAsia" w:ascii="宋体" w:hAnsi="宋体" w:eastAsia="宋体" w:cs="宋体"/>
              <w:sz w:val="24"/>
              <w:szCs w:val="24"/>
            </w:rPr>
            <w:t>97</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_Toc26869 </w:instrText>
          </w:r>
          <w:r>
            <w:rPr>
              <w:rFonts w:hint="eastAsia" w:ascii="宋体" w:hAnsi="宋体" w:eastAsia="宋体" w:cs="宋体"/>
              <w:sz w:val="24"/>
              <w:szCs w:val="24"/>
            </w:rPr>
            <w:fldChar w:fldCharType="separate"/>
          </w:r>
          <w:r>
            <w:rPr>
              <w:rFonts w:hint="eastAsia" w:ascii="宋体" w:hAnsi="宋体" w:eastAsia="宋体" w:cs="宋体"/>
              <w:bCs/>
              <w:sz w:val="24"/>
              <w:szCs w:val="24"/>
            </w:rPr>
            <w:t>6.4 债务清偿能力分析</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_Toc26869 \h </w:instrText>
          </w:r>
          <w:r>
            <w:rPr>
              <w:rFonts w:hint="eastAsia" w:ascii="宋体" w:hAnsi="宋体" w:eastAsia="宋体" w:cs="宋体"/>
              <w:sz w:val="24"/>
              <w:szCs w:val="24"/>
            </w:rPr>
            <w:fldChar w:fldCharType="separate"/>
          </w:r>
          <w:r>
            <w:rPr>
              <w:rFonts w:hint="eastAsia" w:ascii="宋体" w:hAnsi="宋体" w:eastAsia="宋体" w:cs="宋体"/>
              <w:sz w:val="24"/>
              <w:szCs w:val="24"/>
            </w:rPr>
            <w:t>97</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_Toc5533 </w:instrText>
          </w:r>
          <w:r>
            <w:rPr>
              <w:rFonts w:hint="eastAsia" w:ascii="宋体" w:hAnsi="宋体" w:eastAsia="宋体" w:cs="宋体"/>
              <w:sz w:val="24"/>
              <w:szCs w:val="24"/>
            </w:rPr>
            <w:fldChar w:fldCharType="separate"/>
          </w:r>
          <w:r>
            <w:rPr>
              <w:rFonts w:hint="eastAsia" w:ascii="宋体" w:hAnsi="宋体" w:eastAsia="宋体" w:cs="宋体"/>
              <w:bCs/>
              <w:sz w:val="24"/>
              <w:szCs w:val="24"/>
            </w:rPr>
            <w:t>6.5 财务可持续性分析</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_Toc5533 \h </w:instrText>
          </w:r>
          <w:r>
            <w:rPr>
              <w:rFonts w:hint="eastAsia" w:ascii="宋体" w:hAnsi="宋体" w:eastAsia="宋体" w:cs="宋体"/>
              <w:sz w:val="24"/>
              <w:szCs w:val="24"/>
            </w:rPr>
            <w:fldChar w:fldCharType="separate"/>
          </w:r>
          <w:r>
            <w:rPr>
              <w:rFonts w:hint="eastAsia" w:ascii="宋体" w:hAnsi="宋体" w:eastAsia="宋体" w:cs="宋体"/>
              <w:sz w:val="24"/>
              <w:szCs w:val="24"/>
            </w:rPr>
            <w:t>97</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1"/>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_Toc6238 </w:instrText>
          </w:r>
          <w:r>
            <w:rPr>
              <w:rFonts w:hint="eastAsia" w:ascii="宋体" w:hAnsi="宋体" w:eastAsia="宋体" w:cs="宋体"/>
              <w:sz w:val="24"/>
              <w:szCs w:val="24"/>
            </w:rPr>
            <w:fldChar w:fldCharType="separate"/>
          </w:r>
          <w:r>
            <w:rPr>
              <w:rFonts w:hint="eastAsia" w:ascii="宋体" w:hAnsi="宋体" w:eastAsia="宋体" w:cs="宋体"/>
              <w:bCs/>
              <w:sz w:val="24"/>
              <w:szCs w:val="24"/>
            </w:rPr>
            <w:t>第七章 项目影响效果分析</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_Toc6238 \h </w:instrText>
          </w:r>
          <w:r>
            <w:rPr>
              <w:rFonts w:hint="eastAsia" w:ascii="宋体" w:hAnsi="宋体" w:eastAsia="宋体" w:cs="宋体"/>
              <w:sz w:val="24"/>
              <w:szCs w:val="24"/>
            </w:rPr>
            <w:fldChar w:fldCharType="separate"/>
          </w:r>
          <w:r>
            <w:rPr>
              <w:rFonts w:hint="eastAsia" w:ascii="宋体" w:hAnsi="宋体" w:eastAsia="宋体" w:cs="宋体"/>
              <w:sz w:val="24"/>
              <w:szCs w:val="24"/>
            </w:rPr>
            <w:t>99</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_Toc12698 </w:instrText>
          </w:r>
          <w:r>
            <w:rPr>
              <w:rFonts w:hint="eastAsia" w:ascii="宋体" w:hAnsi="宋体" w:eastAsia="宋体" w:cs="宋体"/>
              <w:sz w:val="24"/>
              <w:szCs w:val="24"/>
            </w:rPr>
            <w:fldChar w:fldCharType="separate"/>
          </w:r>
          <w:r>
            <w:rPr>
              <w:rFonts w:hint="eastAsia" w:ascii="宋体" w:hAnsi="宋体" w:eastAsia="宋体" w:cs="宋体"/>
              <w:bCs/>
              <w:sz w:val="24"/>
              <w:szCs w:val="24"/>
            </w:rPr>
            <w:t>7.1 经济影响分析</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_Toc12698 \h </w:instrText>
          </w:r>
          <w:r>
            <w:rPr>
              <w:rFonts w:hint="eastAsia" w:ascii="宋体" w:hAnsi="宋体" w:eastAsia="宋体" w:cs="宋体"/>
              <w:sz w:val="24"/>
              <w:szCs w:val="24"/>
            </w:rPr>
            <w:fldChar w:fldCharType="separate"/>
          </w:r>
          <w:r>
            <w:rPr>
              <w:rFonts w:hint="eastAsia" w:ascii="宋体" w:hAnsi="宋体" w:eastAsia="宋体" w:cs="宋体"/>
              <w:sz w:val="24"/>
              <w:szCs w:val="24"/>
            </w:rPr>
            <w:t>99</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_Toc3676 </w:instrText>
          </w:r>
          <w:r>
            <w:rPr>
              <w:rFonts w:hint="eastAsia" w:ascii="宋体" w:hAnsi="宋体" w:eastAsia="宋体" w:cs="宋体"/>
              <w:sz w:val="24"/>
              <w:szCs w:val="24"/>
            </w:rPr>
            <w:fldChar w:fldCharType="separate"/>
          </w:r>
          <w:r>
            <w:rPr>
              <w:rFonts w:hint="eastAsia" w:ascii="宋体" w:hAnsi="宋体" w:eastAsia="宋体" w:cs="宋体"/>
              <w:bCs/>
              <w:sz w:val="24"/>
              <w:szCs w:val="24"/>
            </w:rPr>
            <w:t>7.2 社会影响分析</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_Toc3676 \h </w:instrText>
          </w:r>
          <w:r>
            <w:rPr>
              <w:rFonts w:hint="eastAsia" w:ascii="宋体" w:hAnsi="宋体" w:eastAsia="宋体" w:cs="宋体"/>
              <w:sz w:val="24"/>
              <w:szCs w:val="24"/>
            </w:rPr>
            <w:fldChar w:fldCharType="separate"/>
          </w:r>
          <w:r>
            <w:rPr>
              <w:rFonts w:hint="eastAsia" w:ascii="宋体" w:hAnsi="宋体" w:eastAsia="宋体" w:cs="宋体"/>
              <w:sz w:val="24"/>
              <w:szCs w:val="24"/>
            </w:rPr>
            <w:t>105</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_Toc6121 </w:instrText>
          </w:r>
          <w:r>
            <w:rPr>
              <w:rFonts w:hint="eastAsia" w:ascii="宋体" w:hAnsi="宋体" w:eastAsia="宋体" w:cs="宋体"/>
              <w:sz w:val="24"/>
              <w:szCs w:val="24"/>
            </w:rPr>
            <w:fldChar w:fldCharType="separate"/>
          </w:r>
          <w:r>
            <w:rPr>
              <w:rFonts w:hint="eastAsia" w:ascii="宋体" w:hAnsi="宋体" w:eastAsia="宋体" w:cs="宋体"/>
              <w:bCs/>
              <w:sz w:val="24"/>
              <w:szCs w:val="24"/>
            </w:rPr>
            <w:t>7.3 生态环境影响分析</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_Toc6121 \h </w:instrText>
          </w:r>
          <w:r>
            <w:rPr>
              <w:rFonts w:hint="eastAsia" w:ascii="宋体" w:hAnsi="宋体" w:eastAsia="宋体" w:cs="宋体"/>
              <w:sz w:val="24"/>
              <w:szCs w:val="24"/>
            </w:rPr>
            <w:fldChar w:fldCharType="separate"/>
          </w:r>
          <w:r>
            <w:rPr>
              <w:rFonts w:hint="eastAsia" w:ascii="宋体" w:hAnsi="宋体" w:eastAsia="宋体" w:cs="宋体"/>
              <w:sz w:val="24"/>
              <w:szCs w:val="24"/>
            </w:rPr>
            <w:t>107</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_Toc4154 </w:instrText>
          </w:r>
          <w:r>
            <w:rPr>
              <w:rFonts w:hint="eastAsia" w:ascii="宋体" w:hAnsi="宋体" w:eastAsia="宋体" w:cs="宋体"/>
              <w:sz w:val="24"/>
              <w:szCs w:val="24"/>
            </w:rPr>
            <w:fldChar w:fldCharType="separate"/>
          </w:r>
          <w:r>
            <w:rPr>
              <w:rFonts w:hint="eastAsia" w:ascii="宋体" w:hAnsi="宋体" w:eastAsia="宋体" w:cs="宋体"/>
              <w:bCs/>
              <w:sz w:val="24"/>
              <w:szCs w:val="24"/>
            </w:rPr>
            <w:t>7.4 资源和能源利用效果分析</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_Toc4154 \h </w:instrText>
          </w:r>
          <w:r>
            <w:rPr>
              <w:rFonts w:hint="eastAsia" w:ascii="宋体" w:hAnsi="宋体" w:eastAsia="宋体" w:cs="宋体"/>
              <w:sz w:val="24"/>
              <w:szCs w:val="24"/>
            </w:rPr>
            <w:fldChar w:fldCharType="separate"/>
          </w:r>
          <w:r>
            <w:rPr>
              <w:rFonts w:hint="eastAsia" w:ascii="宋体" w:hAnsi="宋体" w:eastAsia="宋体" w:cs="宋体"/>
              <w:sz w:val="24"/>
              <w:szCs w:val="24"/>
            </w:rPr>
            <w:t>111</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_Toc19211 </w:instrText>
          </w:r>
          <w:r>
            <w:rPr>
              <w:rFonts w:hint="eastAsia" w:ascii="宋体" w:hAnsi="宋体" w:eastAsia="宋体" w:cs="宋体"/>
              <w:sz w:val="24"/>
              <w:szCs w:val="24"/>
            </w:rPr>
            <w:fldChar w:fldCharType="separate"/>
          </w:r>
          <w:r>
            <w:rPr>
              <w:rFonts w:hint="eastAsia" w:ascii="宋体" w:hAnsi="宋体" w:eastAsia="宋体" w:cs="宋体"/>
              <w:bCs/>
              <w:sz w:val="24"/>
              <w:szCs w:val="24"/>
            </w:rPr>
            <w:t>7.5 碳达峰碳中和分析</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_Toc19211 \h </w:instrText>
          </w:r>
          <w:r>
            <w:rPr>
              <w:rFonts w:hint="eastAsia" w:ascii="宋体" w:hAnsi="宋体" w:eastAsia="宋体" w:cs="宋体"/>
              <w:sz w:val="24"/>
              <w:szCs w:val="24"/>
            </w:rPr>
            <w:fldChar w:fldCharType="separate"/>
          </w:r>
          <w:r>
            <w:rPr>
              <w:rFonts w:hint="eastAsia" w:ascii="宋体" w:hAnsi="宋体" w:eastAsia="宋体" w:cs="宋体"/>
              <w:sz w:val="24"/>
              <w:szCs w:val="24"/>
            </w:rPr>
            <w:t>115</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1"/>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_Toc18232 </w:instrText>
          </w:r>
          <w:r>
            <w:rPr>
              <w:rFonts w:hint="eastAsia" w:ascii="宋体" w:hAnsi="宋体" w:eastAsia="宋体" w:cs="宋体"/>
              <w:sz w:val="24"/>
              <w:szCs w:val="24"/>
            </w:rPr>
            <w:fldChar w:fldCharType="separate"/>
          </w:r>
          <w:r>
            <w:rPr>
              <w:rFonts w:hint="eastAsia" w:ascii="宋体" w:hAnsi="宋体" w:eastAsia="宋体" w:cs="宋体"/>
              <w:bCs/>
              <w:sz w:val="24"/>
              <w:szCs w:val="24"/>
            </w:rPr>
            <w:t>第八章 项目风险管控方案</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_Toc18232 \h </w:instrText>
          </w:r>
          <w:r>
            <w:rPr>
              <w:rFonts w:hint="eastAsia" w:ascii="宋体" w:hAnsi="宋体" w:eastAsia="宋体" w:cs="宋体"/>
              <w:sz w:val="24"/>
              <w:szCs w:val="24"/>
            </w:rPr>
            <w:fldChar w:fldCharType="separate"/>
          </w:r>
          <w:r>
            <w:rPr>
              <w:rFonts w:hint="eastAsia" w:ascii="宋体" w:hAnsi="宋体" w:eastAsia="宋体" w:cs="宋体"/>
              <w:sz w:val="24"/>
              <w:szCs w:val="24"/>
            </w:rPr>
            <w:t>117</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_Toc17665 </w:instrText>
          </w:r>
          <w:r>
            <w:rPr>
              <w:rFonts w:hint="eastAsia" w:ascii="宋体" w:hAnsi="宋体" w:eastAsia="宋体" w:cs="宋体"/>
              <w:sz w:val="24"/>
              <w:szCs w:val="24"/>
            </w:rPr>
            <w:fldChar w:fldCharType="separate"/>
          </w:r>
          <w:r>
            <w:rPr>
              <w:rFonts w:hint="eastAsia" w:ascii="宋体" w:hAnsi="宋体" w:eastAsia="宋体" w:cs="宋体"/>
              <w:bCs/>
              <w:sz w:val="24"/>
              <w:szCs w:val="24"/>
            </w:rPr>
            <w:t>8.1 风险识别与评价</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_Toc17665 \h </w:instrText>
          </w:r>
          <w:r>
            <w:rPr>
              <w:rFonts w:hint="eastAsia" w:ascii="宋体" w:hAnsi="宋体" w:eastAsia="宋体" w:cs="宋体"/>
              <w:sz w:val="24"/>
              <w:szCs w:val="24"/>
            </w:rPr>
            <w:fldChar w:fldCharType="separate"/>
          </w:r>
          <w:r>
            <w:rPr>
              <w:rFonts w:hint="eastAsia" w:ascii="宋体" w:hAnsi="宋体" w:eastAsia="宋体" w:cs="宋体"/>
              <w:sz w:val="24"/>
              <w:szCs w:val="24"/>
            </w:rPr>
            <w:t>117</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_Toc19497 </w:instrText>
          </w:r>
          <w:r>
            <w:rPr>
              <w:rFonts w:hint="eastAsia" w:ascii="宋体" w:hAnsi="宋体" w:eastAsia="宋体" w:cs="宋体"/>
              <w:sz w:val="24"/>
              <w:szCs w:val="24"/>
            </w:rPr>
            <w:fldChar w:fldCharType="separate"/>
          </w:r>
          <w:r>
            <w:rPr>
              <w:rFonts w:hint="eastAsia" w:ascii="宋体" w:hAnsi="宋体" w:eastAsia="宋体" w:cs="宋体"/>
              <w:bCs/>
              <w:sz w:val="24"/>
              <w:szCs w:val="24"/>
            </w:rPr>
            <w:t>8.2 风险评估</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_Toc19497 \h </w:instrText>
          </w:r>
          <w:r>
            <w:rPr>
              <w:rFonts w:hint="eastAsia" w:ascii="宋体" w:hAnsi="宋体" w:eastAsia="宋体" w:cs="宋体"/>
              <w:sz w:val="24"/>
              <w:szCs w:val="24"/>
            </w:rPr>
            <w:fldChar w:fldCharType="separate"/>
          </w:r>
          <w:r>
            <w:rPr>
              <w:rFonts w:hint="eastAsia" w:ascii="宋体" w:hAnsi="宋体" w:eastAsia="宋体" w:cs="宋体"/>
              <w:sz w:val="24"/>
              <w:szCs w:val="24"/>
            </w:rPr>
            <w:t>118</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_Toc28378 </w:instrText>
          </w:r>
          <w:r>
            <w:rPr>
              <w:rFonts w:hint="eastAsia" w:ascii="宋体" w:hAnsi="宋体" w:eastAsia="宋体" w:cs="宋体"/>
              <w:sz w:val="24"/>
              <w:szCs w:val="24"/>
            </w:rPr>
            <w:fldChar w:fldCharType="separate"/>
          </w:r>
          <w:r>
            <w:rPr>
              <w:rFonts w:hint="eastAsia" w:ascii="宋体" w:hAnsi="宋体" w:eastAsia="宋体" w:cs="宋体"/>
              <w:bCs/>
              <w:sz w:val="24"/>
              <w:szCs w:val="24"/>
            </w:rPr>
            <w:t>8.3 风险管控方案</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_Toc28378 \h </w:instrText>
          </w:r>
          <w:r>
            <w:rPr>
              <w:rFonts w:hint="eastAsia" w:ascii="宋体" w:hAnsi="宋体" w:eastAsia="宋体" w:cs="宋体"/>
              <w:sz w:val="24"/>
              <w:szCs w:val="24"/>
            </w:rPr>
            <w:fldChar w:fldCharType="separate"/>
          </w:r>
          <w:r>
            <w:rPr>
              <w:rFonts w:hint="eastAsia" w:ascii="宋体" w:hAnsi="宋体" w:eastAsia="宋体" w:cs="宋体"/>
              <w:sz w:val="24"/>
              <w:szCs w:val="24"/>
            </w:rPr>
            <w:t>119</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_Toc28990 </w:instrText>
          </w:r>
          <w:r>
            <w:rPr>
              <w:rFonts w:hint="eastAsia" w:ascii="宋体" w:hAnsi="宋体" w:eastAsia="宋体" w:cs="宋体"/>
              <w:sz w:val="24"/>
              <w:szCs w:val="24"/>
            </w:rPr>
            <w:fldChar w:fldCharType="separate"/>
          </w:r>
          <w:r>
            <w:rPr>
              <w:rFonts w:hint="eastAsia" w:ascii="宋体" w:hAnsi="宋体" w:eastAsia="宋体" w:cs="宋体"/>
              <w:bCs/>
              <w:sz w:val="24"/>
              <w:szCs w:val="24"/>
            </w:rPr>
            <w:t>8.4 重大风险管控应急预案</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_Toc28990 \h </w:instrText>
          </w:r>
          <w:r>
            <w:rPr>
              <w:rFonts w:hint="eastAsia" w:ascii="宋体" w:hAnsi="宋体" w:eastAsia="宋体" w:cs="宋体"/>
              <w:sz w:val="24"/>
              <w:szCs w:val="24"/>
            </w:rPr>
            <w:fldChar w:fldCharType="separate"/>
          </w:r>
          <w:r>
            <w:rPr>
              <w:rFonts w:hint="eastAsia" w:ascii="宋体" w:hAnsi="宋体" w:eastAsia="宋体" w:cs="宋体"/>
              <w:sz w:val="24"/>
              <w:szCs w:val="24"/>
            </w:rPr>
            <w:t>121</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1"/>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_Toc12761 </w:instrText>
          </w:r>
          <w:r>
            <w:rPr>
              <w:rFonts w:hint="eastAsia" w:ascii="宋体" w:hAnsi="宋体" w:eastAsia="宋体" w:cs="宋体"/>
              <w:sz w:val="24"/>
              <w:szCs w:val="24"/>
            </w:rPr>
            <w:fldChar w:fldCharType="separate"/>
          </w:r>
          <w:r>
            <w:rPr>
              <w:rFonts w:hint="eastAsia" w:ascii="宋体" w:hAnsi="宋体" w:eastAsia="宋体" w:cs="宋体"/>
              <w:bCs/>
              <w:sz w:val="24"/>
              <w:szCs w:val="24"/>
            </w:rPr>
            <w:t>第九章 结论和建议</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_Toc12761 \h </w:instrText>
          </w:r>
          <w:r>
            <w:rPr>
              <w:rFonts w:hint="eastAsia" w:ascii="宋体" w:hAnsi="宋体" w:eastAsia="宋体" w:cs="宋体"/>
              <w:sz w:val="24"/>
              <w:szCs w:val="24"/>
            </w:rPr>
            <w:fldChar w:fldCharType="separate"/>
          </w:r>
          <w:r>
            <w:rPr>
              <w:rFonts w:hint="eastAsia" w:ascii="宋体" w:hAnsi="宋体" w:eastAsia="宋体" w:cs="宋体"/>
              <w:sz w:val="24"/>
              <w:szCs w:val="24"/>
            </w:rPr>
            <w:t>123</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_Toc17184 </w:instrText>
          </w:r>
          <w:r>
            <w:rPr>
              <w:rFonts w:hint="eastAsia" w:ascii="宋体" w:hAnsi="宋体" w:eastAsia="宋体" w:cs="宋体"/>
              <w:sz w:val="24"/>
              <w:szCs w:val="24"/>
            </w:rPr>
            <w:fldChar w:fldCharType="separate"/>
          </w:r>
          <w:r>
            <w:rPr>
              <w:rFonts w:hint="eastAsia" w:ascii="宋体" w:hAnsi="宋体" w:eastAsia="宋体" w:cs="宋体"/>
              <w:bCs/>
              <w:sz w:val="24"/>
              <w:szCs w:val="24"/>
            </w:rPr>
            <w:t>9.1 结论</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_Toc17184 \h </w:instrText>
          </w:r>
          <w:r>
            <w:rPr>
              <w:rFonts w:hint="eastAsia" w:ascii="宋体" w:hAnsi="宋体" w:eastAsia="宋体" w:cs="宋体"/>
              <w:sz w:val="24"/>
              <w:szCs w:val="24"/>
            </w:rPr>
            <w:fldChar w:fldCharType="separate"/>
          </w:r>
          <w:r>
            <w:rPr>
              <w:rFonts w:hint="eastAsia" w:ascii="宋体" w:hAnsi="宋体" w:eastAsia="宋体" w:cs="宋体"/>
              <w:sz w:val="24"/>
              <w:szCs w:val="24"/>
            </w:rPr>
            <w:t>123</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_Toc22194 </w:instrText>
          </w:r>
          <w:r>
            <w:rPr>
              <w:rFonts w:hint="eastAsia" w:ascii="宋体" w:hAnsi="宋体" w:eastAsia="宋体" w:cs="宋体"/>
              <w:sz w:val="24"/>
              <w:szCs w:val="24"/>
            </w:rPr>
            <w:fldChar w:fldCharType="separate"/>
          </w:r>
          <w:r>
            <w:rPr>
              <w:rFonts w:hint="eastAsia" w:ascii="宋体" w:hAnsi="宋体" w:eastAsia="宋体" w:cs="宋体"/>
              <w:bCs/>
              <w:sz w:val="24"/>
              <w:szCs w:val="24"/>
            </w:rPr>
            <w:t>9.2 建议</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_Toc22194 \h </w:instrText>
          </w:r>
          <w:r>
            <w:rPr>
              <w:rFonts w:hint="eastAsia" w:ascii="宋体" w:hAnsi="宋体" w:eastAsia="宋体" w:cs="宋体"/>
              <w:sz w:val="24"/>
              <w:szCs w:val="24"/>
            </w:rPr>
            <w:fldChar w:fldCharType="separate"/>
          </w:r>
          <w:r>
            <w:rPr>
              <w:rFonts w:hint="eastAsia" w:ascii="宋体" w:hAnsi="宋体" w:eastAsia="宋体" w:cs="宋体"/>
              <w:sz w:val="24"/>
              <w:szCs w:val="24"/>
            </w:rPr>
            <w:t>123</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1"/>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_Toc17335 </w:instrText>
          </w:r>
          <w:r>
            <w:rPr>
              <w:rFonts w:hint="eastAsia" w:ascii="宋体" w:hAnsi="宋体" w:eastAsia="宋体" w:cs="宋体"/>
              <w:sz w:val="24"/>
              <w:szCs w:val="24"/>
            </w:rPr>
            <w:fldChar w:fldCharType="separate"/>
          </w:r>
          <w:r>
            <w:rPr>
              <w:rFonts w:hint="eastAsia" w:ascii="宋体" w:hAnsi="宋体" w:eastAsia="宋体" w:cs="宋体"/>
              <w:bCs/>
              <w:i w:val="false"/>
              <w:iCs w:val="false"/>
              <w:kern w:val="0"/>
              <w:sz w:val="24"/>
              <w:szCs w:val="24"/>
              <w:lang w:val="en-US" w:eastAsia="zh-CN"/>
            </w:rPr>
            <w:t>附表1：建设投资估算表</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_Toc17335 \h </w:instrText>
          </w:r>
          <w:r>
            <w:rPr>
              <w:rFonts w:hint="eastAsia" w:ascii="宋体" w:hAnsi="宋体" w:eastAsia="宋体" w:cs="宋体"/>
              <w:sz w:val="24"/>
              <w:szCs w:val="24"/>
            </w:rPr>
            <w:fldChar w:fldCharType="separate"/>
          </w:r>
          <w:r>
            <w:rPr>
              <w:rFonts w:hint="eastAsia" w:ascii="宋体" w:hAnsi="宋体" w:eastAsia="宋体" w:cs="宋体"/>
              <w:sz w:val="24"/>
              <w:szCs w:val="24"/>
            </w:rPr>
            <w:t>125</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1"/>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_Toc19365 </w:instrText>
          </w:r>
          <w:r>
            <w:rPr>
              <w:rFonts w:hint="eastAsia" w:ascii="宋体" w:hAnsi="宋体" w:eastAsia="宋体" w:cs="宋体"/>
              <w:sz w:val="24"/>
              <w:szCs w:val="24"/>
            </w:rPr>
            <w:fldChar w:fldCharType="separate"/>
          </w:r>
          <w:r>
            <w:rPr>
              <w:rFonts w:hint="eastAsia" w:ascii="宋体" w:hAnsi="宋体" w:eastAsia="宋体" w:cs="宋体"/>
              <w:bCs/>
              <w:i w:val="false"/>
              <w:iCs w:val="false"/>
              <w:kern w:val="0"/>
              <w:sz w:val="24"/>
              <w:szCs w:val="24"/>
              <w:lang w:val="en-US" w:eastAsia="zh-CN"/>
            </w:rPr>
            <w:t>附表2：固定资产折旧表</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_Toc19365 \h </w:instrText>
          </w:r>
          <w:r>
            <w:rPr>
              <w:rFonts w:hint="eastAsia" w:ascii="宋体" w:hAnsi="宋体" w:eastAsia="宋体" w:cs="宋体"/>
              <w:sz w:val="24"/>
              <w:szCs w:val="24"/>
            </w:rPr>
            <w:fldChar w:fldCharType="separate"/>
          </w:r>
          <w:r>
            <w:rPr>
              <w:rFonts w:hint="eastAsia" w:ascii="宋体" w:hAnsi="宋体" w:eastAsia="宋体" w:cs="宋体"/>
              <w:sz w:val="24"/>
              <w:szCs w:val="24"/>
            </w:rPr>
            <w:t>128</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1"/>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_Toc13398 </w:instrText>
          </w:r>
          <w:r>
            <w:rPr>
              <w:rFonts w:hint="eastAsia" w:ascii="宋体" w:hAnsi="宋体" w:eastAsia="宋体" w:cs="宋体"/>
              <w:sz w:val="24"/>
              <w:szCs w:val="24"/>
            </w:rPr>
            <w:fldChar w:fldCharType="separate"/>
          </w:r>
          <w:r>
            <w:rPr>
              <w:rFonts w:hint="eastAsia" w:ascii="宋体" w:hAnsi="宋体" w:eastAsia="宋体" w:cs="宋体"/>
              <w:bCs/>
              <w:i w:val="false"/>
              <w:iCs w:val="false"/>
              <w:kern w:val="0"/>
              <w:sz w:val="24"/>
              <w:szCs w:val="24"/>
              <w:lang w:val="en-US" w:eastAsia="zh-CN"/>
            </w:rPr>
            <w:t>附表3：营业收入及税金表</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_Toc13398 \h </w:instrText>
          </w:r>
          <w:r>
            <w:rPr>
              <w:rFonts w:hint="eastAsia" w:ascii="宋体" w:hAnsi="宋体" w:eastAsia="宋体" w:cs="宋体"/>
              <w:sz w:val="24"/>
              <w:szCs w:val="24"/>
            </w:rPr>
            <w:fldChar w:fldCharType="separate"/>
          </w:r>
          <w:r>
            <w:rPr>
              <w:rFonts w:hint="eastAsia" w:ascii="宋体" w:hAnsi="宋体" w:eastAsia="宋体" w:cs="宋体"/>
              <w:sz w:val="24"/>
              <w:szCs w:val="24"/>
            </w:rPr>
            <w:t>130</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1"/>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_Toc28804 </w:instrText>
          </w:r>
          <w:r>
            <w:rPr>
              <w:rFonts w:hint="eastAsia" w:ascii="宋体" w:hAnsi="宋体" w:eastAsia="宋体" w:cs="宋体"/>
              <w:sz w:val="24"/>
              <w:szCs w:val="24"/>
            </w:rPr>
            <w:fldChar w:fldCharType="separate"/>
          </w:r>
          <w:r>
            <w:rPr>
              <w:rFonts w:hint="eastAsia" w:ascii="宋体" w:hAnsi="宋体" w:eastAsia="宋体" w:cs="宋体"/>
              <w:bCs/>
              <w:i w:val="false"/>
              <w:iCs w:val="false"/>
              <w:kern w:val="0"/>
              <w:sz w:val="24"/>
              <w:szCs w:val="24"/>
              <w:lang w:val="en-US" w:eastAsia="zh-CN"/>
            </w:rPr>
            <w:t>附表4：总成本费用表</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_Toc28804 \h </w:instrText>
          </w:r>
          <w:r>
            <w:rPr>
              <w:rFonts w:hint="eastAsia" w:ascii="宋体" w:hAnsi="宋体" w:eastAsia="宋体" w:cs="宋体"/>
              <w:sz w:val="24"/>
              <w:szCs w:val="24"/>
            </w:rPr>
            <w:fldChar w:fldCharType="separate"/>
          </w:r>
          <w:r>
            <w:rPr>
              <w:rFonts w:hint="eastAsia" w:ascii="宋体" w:hAnsi="宋体" w:eastAsia="宋体" w:cs="宋体"/>
              <w:sz w:val="24"/>
              <w:szCs w:val="24"/>
            </w:rPr>
            <w:t>134</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1"/>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_Toc12839 </w:instrText>
          </w:r>
          <w:r>
            <w:rPr>
              <w:rFonts w:hint="eastAsia" w:ascii="宋体" w:hAnsi="宋体" w:eastAsia="宋体" w:cs="宋体"/>
              <w:sz w:val="24"/>
              <w:szCs w:val="24"/>
            </w:rPr>
            <w:fldChar w:fldCharType="separate"/>
          </w:r>
          <w:r>
            <w:rPr>
              <w:rFonts w:hint="eastAsia" w:ascii="宋体" w:hAnsi="宋体" w:eastAsia="宋体" w:cs="宋体"/>
              <w:bCs/>
              <w:i w:val="false"/>
              <w:iCs w:val="false"/>
              <w:kern w:val="0"/>
              <w:sz w:val="24"/>
              <w:szCs w:val="24"/>
              <w:lang w:val="en-US" w:eastAsia="zh-CN"/>
            </w:rPr>
            <w:t>附表5：利润及利润分配表</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_Toc12839 \h </w:instrText>
          </w:r>
          <w:r>
            <w:rPr>
              <w:rFonts w:hint="eastAsia" w:ascii="宋体" w:hAnsi="宋体" w:eastAsia="宋体" w:cs="宋体"/>
              <w:sz w:val="24"/>
              <w:szCs w:val="24"/>
            </w:rPr>
            <w:fldChar w:fldCharType="separate"/>
          </w:r>
          <w:r>
            <w:rPr>
              <w:rFonts w:hint="eastAsia" w:ascii="宋体" w:hAnsi="宋体" w:eastAsia="宋体" w:cs="宋体"/>
              <w:sz w:val="24"/>
              <w:szCs w:val="24"/>
            </w:rPr>
            <w:t>136</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1"/>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_Toc16364 </w:instrText>
          </w:r>
          <w:r>
            <w:rPr>
              <w:rFonts w:hint="eastAsia" w:ascii="宋体" w:hAnsi="宋体" w:eastAsia="宋体" w:cs="宋体"/>
              <w:sz w:val="24"/>
              <w:szCs w:val="24"/>
            </w:rPr>
            <w:fldChar w:fldCharType="separate"/>
          </w:r>
          <w:r>
            <w:rPr>
              <w:rFonts w:hint="eastAsia" w:ascii="宋体" w:hAnsi="宋体" w:eastAsia="宋体" w:cs="宋体"/>
              <w:bCs/>
              <w:i w:val="false"/>
              <w:iCs w:val="false"/>
              <w:kern w:val="0"/>
              <w:sz w:val="24"/>
              <w:szCs w:val="24"/>
              <w:lang w:val="en-US" w:eastAsia="zh-CN"/>
            </w:rPr>
            <w:t>附表6：项目投资现金流量表</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_Toc16364 \h </w:instrText>
          </w:r>
          <w:r>
            <w:rPr>
              <w:rFonts w:hint="eastAsia" w:ascii="宋体" w:hAnsi="宋体" w:eastAsia="宋体" w:cs="宋体"/>
              <w:sz w:val="24"/>
              <w:szCs w:val="24"/>
            </w:rPr>
            <w:fldChar w:fldCharType="separate"/>
          </w:r>
          <w:r>
            <w:rPr>
              <w:rFonts w:hint="eastAsia" w:ascii="宋体" w:hAnsi="宋体" w:eastAsia="宋体" w:cs="宋体"/>
              <w:sz w:val="24"/>
              <w:szCs w:val="24"/>
            </w:rPr>
            <w:t>140</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1"/>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_Toc16132 </w:instrText>
          </w:r>
          <w:r>
            <w:rPr>
              <w:rFonts w:hint="eastAsia" w:ascii="宋体" w:hAnsi="宋体" w:eastAsia="宋体" w:cs="宋体"/>
              <w:sz w:val="24"/>
              <w:szCs w:val="24"/>
            </w:rPr>
            <w:fldChar w:fldCharType="separate"/>
          </w:r>
          <w:r>
            <w:rPr>
              <w:rFonts w:hint="eastAsia" w:ascii="宋体" w:hAnsi="宋体" w:eastAsia="宋体" w:cs="宋体"/>
              <w:bCs/>
              <w:i w:val="false"/>
              <w:iCs w:val="false"/>
              <w:kern w:val="0"/>
              <w:sz w:val="24"/>
              <w:szCs w:val="24"/>
              <w:lang w:val="en-US" w:eastAsia="zh-CN"/>
            </w:rPr>
            <w:t>附表7：还本付息表</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_Toc16132 \h </w:instrText>
          </w:r>
          <w:r>
            <w:rPr>
              <w:rFonts w:hint="eastAsia" w:ascii="宋体" w:hAnsi="宋体" w:eastAsia="宋体" w:cs="宋体"/>
              <w:sz w:val="24"/>
              <w:szCs w:val="24"/>
            </w:rPr>
            <w:fldChar w:fldCharType="separate"/>
          </w:r>
          <w:r>
            <w:rPr>
              <w:rFonts w:hint="eastAsia" w:ascii="宋体" w:hAnsi="宋体" w:eastAsia="宋体" w:cs="宋体"/>
              <w:sz w:val="24"/>
              <w:szCs w:val="24"/>
            </w:rPr>
            <w:t>144</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keepNext w:val="false"/>
            <w:keepLines w:val="false"/>
            <w:pageBreakBefore w:val="false"/>
            <w:widowControl/>
            <w:wordWrap/>
            <w:overflowPunct/>
            <w:topLinePunct w:val="false"/>
            <w:bidi w:val="false"/>
            <w:spacing w:line="360" w:lineRule="auto"/>
            <w:rPr>
              <w:b/>
            </w:rPr>
          </w:pPr>
          <w:r>
            <w:rPr>
              <w:rFonts w:hint="eastAsia" w:ascii="宋体" w:hAnsi="宋体" w:eastAsia="宋体" w:cs="宋体"/>
              <w:szCs w:val="24"/>
            </w:rPr>
            <w:fldChar w:fldCharType="end"/>
          </w:r>
        </w:p>
      </w:sdtContent>
    </w:sdt>
    <w:p>
      <w:pPr>
        <w:rPr>
          <w:b/>
        </w:rPr>
      </w:pPr>
    </w:p>
    <w:p>
      <w:pPr>
        <w:sectPr>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425" w:num="1"/>
          <w:docGrid w:type="lines" w:linePitch="312" w:charSpace="0"/>
        </w:sectPr>
      </w:pPr>
    </w:p>
    <w:bookmarkStart w:id="3" w:name="_Toc28585"/>
    <w:p>
      <w:pPr>
        <w:keepNext w:val="false"/>
        <w:keepLines w:val="false"/>
        <w:pageBreakBefore w:val="false"/>
        <w:widowControl/>
        <w:kinsoku w:val="false"/>
        <w:wordWrap/>
        <w:overflowPunct/>
        <w:topLinePunct w:val="false"/>
        <w:autoSpaceDE w:val="false"/>
        <w:autoSpaceDN w:val="false"/>
        <w:bidi w:val="false"/>
        <w:adjustRightInd/>
        <w:snapToGrid/>
        <w:spacing w:before="0" w:beforeLines="100" w:after="0" w:afterLines="100" w:line="360" w:lineRule="auto"/>
        <w:jc w:val="center"/>
        <w:textAlignment w:val="baseline"/>
        <w:outlineLvl w:val="0"/>
        <w:rPr>
          <w:rFonts w:hint="eastAsia" w:ascii="宋体" w:hAnsi="宋体" w:eastAsia="宋体" w:cs="宋体"/>
          <w:b/>
          <w:bCs/>
          <w:sz w:val="36"/>
          <w:szCs w:val="36"/>
        </w:rPr>
      </w:pPr>
      <w:r>
        <w:rPr>
          <w:rFonts w:hint="eastAsia" w:ascii="宋体" w:hAnsi="宋体" w:eastAsia="宋体" w:cs="宋体"/>
          <w:b/>
          <w:bCs/>
          <w:sz w:val="36"/>
          <w:szCs w:val="36"/>
        </w:rPr>
        <w:t>第一章 总论</w:t>
      </w:r>
      <w:bookmarkEnd w:id="3"/>
    </w:p>
    <w:bookmarkStart w:id="4" w:name="_Toc10315"/>
    <w:bookmarkStart w:id="5" w:name="_Toc27673"/>
    <w:bookmarkStart w:id="6" w:name="_Toc1387"/>
    <w:bookmarkStart w:id="7" w:name="_Toc15962"/>
    <w:bookmarkStart w:id="8" w:name="_Toc18612"/>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1.1 项目概况</w:t>
      </w:r>
      <w:bookmarkEnd w:id="4"/>
      <w:bookmarkEnd w:id="5"/>
      <w:bookmarkEnd w:id="6"/>
      <w:bookmarkEnd w:id="7"/>
      <w:bookmarkEnd w:id="8"/>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rPr>
        <w:t>1.1.1 项目名称</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000000"/>
          <w:spacing w:val="0"/>
          <w:w w:val="100"/>
          <w:kern w:val="2"/>
          <w:position w:val="0"/>
          <w:sz w:val="28"/>
          <w:szCs w:val="28"/>
          <w:lang w:val="en-US" w:eastAsia="zh-CN" w:bidi="zh-CN"/>
        </w:rPr>
      </w:pPr>
      <w:r>
        <w:rPr>
          <w:rFonts w:ascii="宋体" w:hAnsi="宋体" w:eastAsia="宋体" w:cs="宋体"/>
          <w:i w:val="false"/>
          <w:strike w:val="false"/>
          <w:color w:val="000000"/>
          <w:spacing w:val="0"/>
          <w:sz w:val="28"/>
          <w:u w:val="none"/>
        </w:rPr>
        <w:t>新乡市腾飞纸业有限公司</w:t>
      </w:r>
      <w:r>
        <w:rPr>
          <w:rFonts w:hint="eastAsia" w:ascii="宋体" w:hAnsi="宋体" w:eastAsia="宋体" w:cs="宋体"/>
          <w:snapToGrid/>
          <w:color w:val="000000"/>
          <w:spacing w:val="0"/>
          <w:w w:val="100"/>
          <w:kern w:val="2"/>
          <w:position w:val="0"/>
          <w:sz w:val="28"/>
          <w:szCs w:val="28"/>
          <w:lang w:val="en-US" w:eastAsia="zh-CN" w:bidi="zh-CN"/>
        </w:rPr>
        <w:t>源网荷储一体化项目</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rPr>
        <w:t>1.1.2 项目建设单位</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单位名称：获嘉县产业集聚区创业孵化园有限公司</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rPr>
        <w:t>1.1.3 建设地点</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default"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项目地点位于：新乡市获嘉县梧桐路与安王公路交叉口东南角。</w:t>
      </w:r>
    </w:p>
    <w:p>
      <w:pPr>
        <w:snapToGrid w:val="false"/>
        <w:spacing w:before="157" w:after="157" w:line="360" w:lineRule="auto"/>
        <w:ind w:right="0"/>
        <w:jc w:val="both"/>
        <w:rPr>
          <w:rFonts w:hint="eastAsia" w:eastAsia="宋体"/>
          <w:lang w:eastAsia="zh-CN"/>
        </w:rPr>
      </w:pPr>
      <w:r>
        <w:rPr>
          <w:rFonts w:hint="eastAsia" w:eastAsia="宋体"/>
          <w:lang w:eastAsia="zh-CN"/>
        </w:rPr>
        <w:drawing>
          <wp:inline distT="0" distB="0" distL="114300" distR="114300">
            <wp:extent cx="5264785" cy="2599055"/>
            <wp:effectExtent l="0" t="0" r="8255" b="6985"/>
            <wp:docPr id="2" name="图片 4" descr="项目所在地图"/>
            <wp:cNvGraphicFramePr>
              <a:graphicFrameLocks noChangeAspect="true"/>
            </wp:cNvGraphicFramePr>
            <a:graphic>
              <a:graphicData uri="http://schemas.openxmlformats.org/drawingml/2006/picture">
                <pic:pic>
                  <pic:nvPicPr>
                    <pic:cNvPr id="3" name="图片 4" descr="项目所在地图"/>
                    <pic:cNvPicPr>
                      <a:picLocks noChangeAspect="true"/>
                    </pic:cNvPicPr>
                  </pic:nvPicPr>
                  <pic:blipFill>
                    <a:blip r:embed="rId7"/>
                    <a:stretch>
                      <a:fillRect/>
                    </a:stretch>
                  </pic:blipFill>
                  <pic:spPr>
                    <a:xfrm>
                      <a:off x="0" y="0"/>
                      <a:ext cx="5264785" cy="2599055"/>
                    </a:xfrm>
                    <a:prstGeom prst="rect">
                      <a:avLst/>
                    </a:prstGeom>
                  </pic:spPr>
                </pic:pic>
              </a:graphicData>
            </a:graphic>
          </wp:inline>
        </w:drawing>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rPr>
        <w:t>1.1.4 建设性质</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新建</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rPr>
        <w:t>1.1.5 项目建设内容和规模</w:t>
      </w:r>
    </w:p>
    <w:p>
      <w:pPr>
        <w:snapToGrid/>
        <w:spacing w:before="0" w:after="0" w:line="360" w:lineRule="auto"/>
        <w:ind w:left="0" w:right="0" w:firstLine="560" w:firstLineChars="200"/>
        <w:jc w:val="both"/>
        <w:rPr>
          <w:rFonts w:hint="eastAsia" w:ascii="宋体" w:hAnsi="宋体" w:eastAsia="宋体" w:cs="宋体"/>
          <w:snapToGrid/>
          <w:color w:val="auto"/>
          <w:spacing w:val="0"/>
          <w:w w:val="100"/>
          <w:kern w:val="2"/>
          <w:position w:val="0"/>
          <w:sz w:val="28"/>
          <w:szCs w:val="28"/>
          <w:lang w:val="en-US" w:eastAsia="zh-CN" w:bidi="zh-CN"/>
        </w:rPr>
      </w:pPr>
      <w:r>
        <w:rPr>
          <w:rFonts w:ascii="宋体" w:hAnsi="宋体" w:eastAsia="宋体" w:cs="宋体"/>
          <w:i w:val="false"/>
          <w:strike w:val="false"/>
          <w:spacing w:val="0"/>
          <w:sz w:val="28"/>
          <w:u w:val="none"/>
        </w:rPr>
        <w:t>本项目在</w:t>
      </w:r>
      <w:r>
        <w:rPr>
          <w:rFonts w:hint="eastAsia" w:ascii="宋体" w:hAnsi="宋体" w:eastAsia="宋体" w:cs="宋体"/>
          <w:snapToGrid/>
          <w:color w:val="auto"/>
          <w:spacing w:val="0"/>
          <w:w w:val="100"/>
          <w:kern w:val="2"/>
          <w:position w:val="0"/>
          <w:sz w:val="28"/>
          <w:szCs w:val="28"/>
          <w:lang w:val="en-US" w:eastAsia="zh-CN" w:bidi="zh-CN"/>
        </w:rPr>
        <w:t>获嘉县产业集聚区创业孵化</w:t>
      </w:r>
      <w:r>
        <w:rPr>
          <w:rFonts w:ascii="宋体" w:hAnsi="宋体" w:eastAsia="宋体" w:cs="宋体"/>
          <w:i w:val="false"/>
          <w:strike w:val="false"/>
          <w:spacing w:val="0"/>
          <w:sz w:val="28"/>
          <w:u w:val="none"/>
        </w:rPr>
        <w:t>园区内工业厂房屋顶部署3000KW的分布式光伏发电系统，并配套安装用户侧储能设施，总规模达到9MW/18MWh。此外，项目还规划安装4个光伏充电桩，并同步实施园区绿化及其他相关配套工程。通过源网荷储一体化方案，本项目将用户侧储能设备直接安装在新乡市腾飞纸业有限公司（以下简称“腾飞纸业”）内部，项目所产出的新能源电力将直供给腾飞纸业使用</w:t>
      </w:r>
      <w:r>
        <w:rPr>
          <w:rFonts w:hint="eastAsia" w:ascii="宋体" w:hAnsi="宋体" w:eastAsia="宋体" w:cs="宋体"/>
          <w:snapToGrid/>
          <w:color w:val="auto"/>
          <w:spacing w:val="0"/>
          <w:w w:val="100"/>
          <w:kern w:val="2"/>
          <w:position w:val="0"/>
          <w:sz w:val="28"/>
          <w:szCs w:val="28"/>
          <w:lang w:val="en-US" w:eastAsia="zh-CN" w:bidi="zh-CN"/>
        </w:rPr>
        <w:t>。</w:t>
      </w:r>
    </w:p>
    <w:p>
      <w:pPr>
        <w:pBdr>
          <w:bottom w:val="none" w:color="auto" w:sz="0" w:space="0"/>
        </w:pBdr>
        <w:snapToGrid/>
        <w:spacing w:before="0" w:after="0" w:line="360" w:lineRule="auto"/>
        <w:ind w:left="0" w:right="0" w:firstLine="560" w:firstLineChars="200"/>
        <w:jc w:val="both"/>
        <w:rPr>
          <w:rFonts w:hint="eastAsia" w:ascii="宋体" w:hAnsi="宋体" w:eastAsia="宋体" w:cs="宋体"/>
          <w:snapToGrid/>
          <w:color w:val="auto"/>
          <w:spacing w:val="0"/>
          <w:w w:val="100"/>
          <w:kern w:val="2"/>
          <w:position w:val="0"/>
          <w:sz w:val="28"/>
          <w:szCs w:val="28"/>
          <w:lang w:val="en-US" w:eastAsia="zh-CN" w:bidi="zh-CN"/>
        </w:rPr>
      </w:pPr>
      <w:r>
        <w:rPr>
          <w:rFonts w:ascii="宋体" w:hAnsi="宋体" w:eastAsia="宋体" w:cs="宋体"/>
          <w:i w:val="false"/>
          <w:strike w:val="false"/>
          <w:spacing w:val="0"/>
          <w:sz w:val="28"/>
          <w:u w:val="none"/>
        </w:rPr>
        <w:t>项目规划利用获嘉县产业集聚区中小企业创业孵化园项目</w:t>
      </w:r>
      <w:r>
        <w:rPr>
          <w:rFonts w:hint="eastAsia" w:ascii="宋体" w:hAnsi="宋体" w:eastAsia="宋体" w:cs="宋体"/>
          <w:snapToGrid/>
          <w:color w:val="auto"/>
          <w:spacing w:val="0"/>
          <w:w w:val="100"/>
          <w:kern w:val="2"/>
          <w:position w:val="0"/>
          <w:sz w:val="28"/>
          <w:szCs w:val="28"/>
          <w:lang w:val="en-US" w:eastAsia="zh-CN" w:bidi="zh-CN"/>
        </w:rPr>
        <w:t>屋顶面积为16583.11㎡，园区内可使用空闲区域面积为5677.13㎡，合计可使用面积为22260.24㎡。</w:t>
      </w:r>
    </w:p>
    <w:p>
      <w:pPr>
        <w:keepNext w:val="false"/>
        <w:keepLines w:val="false"/>
        <w:pageBreakBefore w:val="false"/>
        <w:widowControl/>
        <w:pBdr>
          <w:bottom w:val="none" w:color="auto" w:sz="0" w:space="0"/>
        </w:pBdr>
        <w:kinsoku w:val="false"/>
        <w:wordWrap/>
        <w:overflowPunct/>
        <w:topLinePunct w:val="false"/>
        <w:autoSpaceDE w:val="false"/>
        <w:autoSpaceDN w:val="false"/>
        <w:bidi w:val="false"/>
        <w:adjustRightInd/>
        <w:snapToGrid/>
        <w:spacing w:before="0" w:beforeLines="50" w:after="0" w:afterLines="50" w:line="360" w:lineRule="auto"/>
        <w:jc w:val="center"/>
        <w:textAlignment w:val="baseline"/>
        <w:rPr>
          <w:rFonts w:hint="eastAsia" w:ascii="宋体" w:hAnsi="宋体" w:eastAsia="宋体" w:cs="宋体"/>
          <w:b/>
          <w:bCs/>
          <w:sz w:val="28"/>
          <w:szCs w:val="28"/>
        </w:rPr>
      </w:pPr>
      <w:r>
        <w:rPr>
          <w:rFonts w:hint="eastAsia" w:ascii="宋体" w:hAnsi="宋体" w:eastAsia="宋体" w:cs="宋体"/>
          <w:b/>
          <w:bCs/>
          <w:sz w:val="28"/>
          <w:szCs w:val="28"/>
        </w:rPr>
        <w:t>建设参数表</w:t>
      </w:r>
    </w:p>
    <w:tbl>
      <w:tblPr>
        <w:tblStyle w:val="0000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3"/>
        <w:gridCol w:w="2541"/>
        <w:gridCol w:w="1419"/>
        <w:gridCol w:w="1504"/>
        <w:gridCol w:w="1956"/>
      </w:tblGrid>
      <w:tr>
        <w:trPr>
          <w:trHeight w:val="600" w:hRule="atLeast"/>
        </w:trPr>
        <w:tc>
          <w:tcPr>
            <w:tcW w:w="1023" w:type="dxa"/>
            <w:tcBorders>
              <w:top w:val="single" w:color="999999" w:sz="6" w:space="0"/>
              <w:left w:val="single" w:color="999999" w:sz="6" w:space="0"/>
              <w:bottom w:val="single" w:color="999999" w:sz="6" w:space="0"/>
              <w:right w:val="single" w:color="999999" w:sz="6" w:space="0"/>
            </w:tcBorders>
            <w:tcMar>
              <w:top w:w="0" w:type="dxa"/>
              <w:left w:w="108" w:type="dxa"/>
              <w:bottom w:w="0" w:type="dxa"/>
              <w:right w:w="108" w:type="dxa"/>
            </w:tcMar>
            <w:vAlign w:val="center"/>
          </w:tcPr>
          <w:p>
            <w:pPr>
              <w:widowControl w:val="false"/>
              <w:snapToGrid/>
              <w:spacing w:before="0" w:after="0" w:line="240" w:lineRule="auto"/>
              <w:jc w:val="center"/>
              <w:rPr>
                <w:rFonts w:ascii="宋体" w:hAnsi="宋体" w:eastAsia="宋体" w:cs="宋体"/>
                <w:b/>
                <w:sz w:val="22"/>
              </w:rPr>
            </w:pPr>
            <w:r>
              <w:rPr>
                <w:rFonts w:ascii="宋体" w:hAnsi="宋体" w:eastAsia="宋体" w:cs="宋体"/>
                <w:b/>
                <w:i w:val="false"/>
                <w:strike w:val="false"/>
                <w:color w:val="000000"/>
                <w:spacing w:val="0"/>
                <w:sz w:val="22"/>
                <w:u w:val="none"/>
                <w:vertAlign w:val="baseline"/>
              </w:rPr>
              <w:t>序号</w:t>
            </w:r>
          </w:p>
        </w:tc>
        <w:tc>
          <w:tcPr>
            <w:tcW w:w="2541" w:type="dxa"/>
            <w:tcBorders>
              <w:top w:val="single" w:color="999999" w:sz="6" w:space="0"/>
              <w:left w:val="single" w:color="999999" w:sz="6" w:space="0"/>
              <w:bottom w:val="single" w:color="999999" w:sz="6" w:space="0"/>
              <w:right w:val="single" w:color="999999" w:sz="6" w:space="0"/>
            </w:tcBorders>
            <w:tcMar>
              <w:top w:w="0" w:type="dxa"/>
              <w:left w:w="108" w:type="dxa"/>
              <w:bottom w:w="0" w:type="dxa"/>
              <w:right w:w="108" w:type="dxa"/>
            </w:tcMar>
            <w:vAlign w:val="center"/>
          </w:tcPr>
          <w:p>
            <w:pPr>
              <w:widowControl w:val="false"/>
              <w:snapToGrid/>
              <w:spacing w:before="0" w:after="0" w:line="240" w:lineRule="auto"/>
              <w:jc w:val="center"/>
              <w:rPr>
                <w:rFonts w:ascii="宋体" w:hAnsi="宋体" w:eastAsia="宋体" w:cs="宋体"/>
                <w:b/>
                <w:sz w:val="22"/>
              </w:rPr>
            </w:pPr>
            <w:r>
              <w:rPr>
                <w:rFonts w:ascii="宋体" w:hAnsi="宋体" w:eastAsia="宋体" w:cs="宋体"/>
                <w:b/>
                <w:i w:val="false"/>
                <w:strike w:val="false"/>
                <w:color w:val="000000"/>
                <w:spacing w:val="0"/>
                <w:sz w:val="22"/>
                <w:u w:val="none"/>
                <w:vertAlign w:val="baseline"/>
              </w:rPr>
              <w:t>名称</w:t>
            </w:r>
          </w:p>
        </w:tc>
        <w:tc>
          <w:tcPr>
            <w:tcW w:w="1419" w:type="dxa"/>
            <w:tcBorders>
              <w:top w:val="single" w:color="999999" w:sz="6" w:space="0"/>
              <w:left w:val="single" w:color="999999" w:sz="6" w:space="0"/>
              <w:bottom w:val="single" w:color="999999" w:sz="6" w:space="0"/>
              <w:right w:val="single" w:color="999999" w:sz="6" w:space="0"/>
            </w:tcBorders>
            <w:tcMar>
              <w:top w:w="0" w:type="dxa"/>
              <w:left w:w="108" w:type="dxa"/>
              <w:bottom w:w="0" w:type="dxa"/>
              <w:right w:w="108" w:type="dxa"/>
            </w:tcMar>
            <w:vAlign w:val="center"/>
          </w:tcPr>
          <w:p>
            <w:pPr>
              <w:widowControl w:val="false"/>
              <w:snapToGrid/>
              <w:spacing w:before="0" w:after="0" w:line="240" w:lineRule="auto"/>
              <w:jc w:val="center"/>
              <w:rPr>
                <w:rFonts w:ascii="宋体" w:hAnsi="宋体" w:eastAsia="宋体" w:cs="宋体"/>
                <w:b/>
                <w:sz w:val="22"/>
              </w:rPr>
            </w:pPr>
            <w:r>
              <w:rPr>
                <w:rFonts w:ascii="宋体" w:hAnsi="宋体" w:eastAsia="宋体" w:cs="宋体"/>
                <w:b/>
                <w:sz w:val="22"/>
              </w:rPr>
              <w:t>单位</w:t>
            </w:r>
          </w:p>
        </w:tc>
        <w:tc>
          <w:tcPr>
            <w:tcW w:w="1504" w:type="dxa"/>
            <w:tcBorders>
              <w:top w:val="single" w:color="999999" w:sz="6" w:space="0"/>
              <w:left w:val="single" w:color="999999" w:sz="6" w:space="0"/>
              <w:bottom w:val="single" w:color="999999" w:sz="6" w:space="0"/>
              <w:right w:val="single" w:color="999999" w:sz="6" w:space="0"/>
            </w:tcBorders>
            <w:tcMar>
              <w:top w:w="0" w:type="dxa"/>
              <w:left w:w="108" w:type="dxa"/>
              <w:bottom w:w="0" w:type="dxa"/>
              <w:right w:w="108" w:type="dxa"/>
            </w:tcMar>
            <w:vAlign w:val="center"/>
          </w:tcPr>
          <w:p>
            <w:pPr>
              <w:widowControl w:val="false"/>
              <w:snapToGrid/>
              <w:spacing w:before="0" w:after="0" w:line="240" w:lineRule="auto"/>
              <w:jc w:val="center"/>
              <w:rPr>
                <w:rFonts w:ascii="宋体" w:hAnsi="宋体" w:eastAsia="宋体" w:cs="宋体"/>
                <w:b/>
                <w:sz w:val="22"/>
              </w:rPr>
            </w:pPr>
            <w:r>
              <w:rPr>
                <w:rFonts w:ascii="宋体" w:hAnsi="宋体" w:eastAsia="宋体" w:cs="宋体"/>
                <w:b/>
                <w:sz w:val="22"/>
              </w:rPr>
              <w:t>数量</w:t>
            </w:r>
          </w:p>
        </w:tc>
        <w:tc>
          <w:tcPr>
            <w:tcW w:w="1956" w:type="dxa"/>
            <w:tcBorders>
              <w:top w:val="single" w:color="999999" w:sz="6" w:space="0"/>
              <w:left w:val="single" w:color="999999" w:sz="6" w:space="0"/>
              <w:bottom w:val="single" w:color="999999" w:sz="6" w:space="0"/>
              <w:right w:val="single" w:color="999999" w:sz="6" w:space="0"/>
            </w:tcBorders>
            <w:tcMar>
              <w:top w:w="0" w:type="dxa"/>
              <w:left w:w="108" w:type="dxa"/>
              <w:bottom w:w="0" w:type="dxa"/>
              <w:right w:w="108" w:type="dxa"/>
            </w:tcMar>
            <w:vAlign w:val="center"/>
          </w:tcPr>
          <w:p>
            <w:pPr>
              <w:widowControl w:val="false"/>
              <w:snapToGrid/>
              <w:spacing w:before="0" w:after="0" w:line="240" w:lineRule="auto"/>
              <w:jc w:val="center"/>
              <w:rPr>
                <w:rFonts w:ascii="宋体" w:hAnsi="宋体" w:eastAsia="宋体" w:cs="宋体"/>
                <w:b/>
                <w:sz w:val="22"/>
              </w:rPr>
            </w:pPr>
            <w:r>
              <w:rPr>
                <w:rFonts w:ascii="宋体" w:hAnsi="宋体" w:eastAsia="宋体" w:cs="宋体"/>
                <w:b/>
                <w:sz w:val="22"/>
              </w:rPr>
              <w:t>备注</w:t>
            </w:r>
          </w:p>
        </w:tc>
      </w:tr>
      <w:tr>
        <w:trPr>
          <w:trHeight w:val="298" w:hRule="atLeast"/>
        </w:trPr>
        <w:tc>
          <w:tcPr>
            <w:tcW w:w="1023" w:type="dxa"/>
            <w:tcBorders>
              <w:top w:val="single" w:color="999999" w:sz="6" w:space="0"/>
              <w:left w:val="single" w:color="000000" w:sz="6"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rFonts w:ascii="宋体" w:hAnsi="宋体" w:eastAsia="宋体" w:cs="宋体"/>
                <w:sz w:val="22"/>
              </w:rPr>
            </w:pPr>
            <w:r>
              <w:rPr>
                <w:rFonts w:ascii="宋体" w:hAnsi="宋体" w:eastAsia="宋体" w:cs="宋体"/>
                <w:i w:val="false"/>
                <w:strike w:val="false"/>
                <w:color w:val="000000"/>
                <w:spacing w:val="0"/>
                <w:sz w:val="22"/>
                <w:u w:val="none"/>
                <w:vertAlign w:val="baseline"/>
              </w:rPr>
              <w:t>1</w:t>
            </w:r>
          </w:p>
        </w:tc>
        <w:tc>
          <w:tcPr>
            <w:tcW w:w="2541" w:type="dxa"/>
            <w:tcBorders>
              <w:top w:val="single" w:color="999999" w:sz="6"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rFonts w:ascii="宋体" w:hAnsi="宋体" w:eastAsia="宋体" w:cs="宋体"/>
                <w:sz w:val="22"/>
              </w:rPr>
            </w:pPr>
            <w:r>
              <w:rPr>
                <w:rFonts w:ascii="宋体" w:hAnsi="宋体" w:eastAsia="宋体" w:cs="宋体"/>
                <w:sz w:val="22"/>
              </w:rPr>
              <w:t>光伏发电设备</w:t>
            </w:r>
          </w:p>
        </w:tc>
        <w:tc>
          <w:tcPr>
            <w:tcW w:w="1419" w:type="dxa"/>
            <w:tcBorders>
              <w:top w:val="single" w:color="999999" w:sz="6"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rFonts w:ascii="宋体" w:hAnsi="宋体" w:eastAsia="宋体" w:cs="宋体"/>
                <w:sz w:val="22"/>
              </w:rPr>
            </w:pPr>
            <w:r>
              <w:rPr>
                <w:rFonts w:ascii="宋体" w:hAnsi="宋体" w:eastAsia="宋体" w:cs="宋体"/>
                <w:i w:val="false"/>
                <w:strike w:val="false"/>
                <w:color w:val="000000"/>
                <w:spacing w:val="0"/>
                <w:sz w:val="22"/>
                <w:u w:val="none"/>
                <w:vertAlign w:val="baseline"/>
              </w:rPr>
              <w:t xml:space="preserve">KW </w:t>
            </w:r>
          </w:p>
        </w:tc>
        <w:tc>
          <w:tcPr>
            <w:tcW w:w="1504" w:type="dxa"/>
            <w:tcBorders>
              <w:top w:val="single" w:color="999999" w:sz="6"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rFonts w:ascii="宋体" w:hAnsi="宋体" w:eastAsia="宋体" w:cs="宋体"/>
                <w:sz w:val="22"/>
              </w:rPr>
            </w:pPr>
            <w:r>
              <w:rPr>
                <w:rFonts w:ascii="宋体" w:hAnsi="宋体" w:eastAsia="宋体" w:cs="宋体"/>
                <w:i w:val="false"/>
                <w:strike w:val="false"/>
                <w:color w:val="000000"/>
                <w:spacing w:val="0"/>
                <w:sz w:val="22"/>
                <w:u w:val="none"/>
                <w:vertAlign w:val="baseline"/>
              </w:rPr>
              <w:t xml:space="preserve">3000 </w:t>
            </w:r>
          </w:p>
        </w:tc>
        <w:tc>
          <w:tcPr>
            <w:tcW w:w="1956" w:type="dxa"/>
            <w:tcBorders>
              <w:top w:val="single" w:color="999999" w:sz="6"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rFonts w:ascii="宋体" w:hAnsi="宋体" w:eastAsia="宋体" w:cs="宋体"/>
                <w:sz w:val="22"/>
              </w:rPr>
            </w:pPr>
          </w:p>
        </w:tc>
      </w:tr>
      <w:tr>
        <w:trPr>
          <w:trHeight w:val="330" w:hRule="atLeast"/>
        </w:trPr>
        <w:tc>
          <w:tcPr>
            <w:tcW w:w="1023"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jc w:val="center"/>
              <w:rPr>
                <w:rFonts w:ascii="宋体" w:hAnsi="宋体" w:eastAsia="宋体" w:cs="宋体"/>
                <w:sz w:val="22"/>
              </w:rPr>
            </w:pPr>
            <w:r>
              <w:rPr>
                <w:rFonts w:ascii="宋体" w:hAnsi="宋体" w:eastAsia="宋体" w:cs="宋体"/>
                <w:i w:val="false"/>
                <w:strike w:val="false"/>
                <w:color w:val="000000"/>
                <w:spacing w:val="0"/>
                <w:sz w:val="22"/>
                <w:u w:val="none"/>
                <w:vertAlign w:val="baseline"/>
              </w:rPr>
              <w:t>2</w:t>
            </w:r>
          </w:p>
        </w:tc>
        <w:tc>
          <w:tcPr>
            <w:tcW w:w="2541"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jc w:val="center"/>
              <w:rPr>
                <w:rFonts w:ascii="宋体" w:hAnsi="宋体" w:eastAsia="宋体" w:cs="宋体"/>
                <w:sz w:val="22"/>
              </w:rPr>
            </w:pPr>
            <w:r>
              <w:rPr>
                <w:rFonts w:ascii="宋体" w:hAnsi="宋体" w:eastAsia="宋体" w:cs="宋体"/>
                <w:sz w:val="22"/>
              </w:rPr>
              <w:t>储能设备</w:t>
            </w:r>
          </w:p>
        </w:tc>
        <w:tc>
          <w:tcPr>
            <w:tcW w:w="1419"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jc w:val="center"/>
              <w:rPr>
                <w:rFonts w:ascii="宋体" w:hAnsi="宋体" w:eastAsia="宋体" w:cs="宋体"/>
                <w:sz w:val="22"/>
              </w:rPr>
            </w:pPr>
            <w:r>
              <w:rPr>
                <w:rFonts w:ascii="宋体" w:hAnsi="宋体" w:eastAsia="宋体" w:cs="宋体"/>
                <w:i w:val="false"/>
                <w:strike w:val="false"/>
                <w:color w:val="000000"/>
                <w:spacing w:val="0"/>
                <w:sz w:val="22"/>
                <w:u w:val="none"/>
                <w:vertAlign w:val="baseline"/>
              </w:rPr>
              <w:t>MW/MWh</w:t>
            </w:r>
          </w:p>
        </w:tc>
        <w:tc>
          <w:tcPr>
            <w:tcW w:w="1504"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jc w:val="center"/>
              <w:rPr>
                <w:rFonts w:ascii="宋体" w:hAnsi="宋体" w:eastAsia="宋体" w:cs="宋体"/>
                <w:sz w:val="22"/>
              </w:rPr>
            </w:pPr>
            <w:r>
              <w:rPr>
                <w:rFonts w:ascii="宋体" w:hAnsi="宋体" w:eastAsia="宋体" w:cs="宋体"/>
                <w:i w:val="false"/>
                <w:strike w:val="false"/>
                <w:color w:val="000000"/>
                <w:spacing w:val="0"/>
                <w:sz w:val="22"/>
                <w:u w:val="none"/>
                <w:vertAlign w:val="baseline"/>
              </w:rPr>
              <w:t xml:space="preserve">9/18 </w:t>
            </w:r>
          </w:p>
        </w:tc>
        <w:tc>
          <w:tcPr>
            <w:tcW w:w="1956"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jc w:val="center"/>
              <w:rPr>
                <w:rFonts w:ascii="宋体" w:hAnsi="宋体" w:eastAsia="宋体" w:cs="宋体"/>
                <w:sz w:val="22"/>
              </w:rPr>
            </w:pPr>
          </w:p>
        </w:tc>
      </w:tr>
      <w:tr>
        <w:trPr>
          <w:trHeight w:val="320" w:hRule="atLeast"/>
        </w:trPr>
        <w:tc>
          <w:tcPr>
            <w:tcW w:w="1023"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rFonts w:ascii="宋体" w:hAnsi="宋体" w:eastAsia="宋体" w:cs="宋体"/>
                <w:sz w:val="22"/>
              </w:rPr>
            </w:pPr>
            <w:r>
              <w:rPr>
                <w:rFonts w:ascii="宋体" w:hAnsi="宋体" w:eastAsia="宋体" w:cs="宋体"/>
                <w:i w:val="false"/>
                <w:strike w:val="false"/>
                <w:color w:val="000000"/>
                <w:spacing w:val="0"/>
                <w:sz w:val="22"/>
                <w:u w:val="none"/>
                <w:vertAlign w:val="baseline"/>
              </w:rPr>
              <w:t>3</w:t>
            </w:r>
          </w:p>
        </w:tc>
        <w:tc>
          <w:tcPr>
            <w:tcW w:w="2541"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rFonts w:ascii="宋体" w:hAnsi="宋体" w:eastAsia="宋体" w:cs="宋体"/>
                <w:color w:val="000000"/>
                <w:sz w:val="22"/>
              </w:rPr>
            </w:pPr>
            <w:r>
              <w:rPr>
                <w:rFonts w:ascii="宋体" w:hAnsi="宋体" w:eastAsia="宋体" w:cs="宋体"/>
                <w:color w:val="000000"/>
                <w:sz w:val="22"/>
              </w:rPr>
              <w:t>占用工业厂房屋顶面积</w:t>
            </w:r>
          </w:p>
        </w:tc>
        <w:tc>
          <w:tcPr>
            <w:tcW w:w="1419"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rFonts w:ascii="宋体" w:hAnsi="宋体" w:eastAsia="宋体" w:cs="宋体"/>
                <w:sz w:val="22"/>
              </w:rPr>
            </w:pPr>
            <w:r>
              <w:rPr>
                <w:rFonts w:ascii="宋体" w:hAnsi="宋体" w:eastAsia="宋体" w:cs="宋体"/>
                <w:i w:val="false"/>
                <w:strike w:val="false"/>
                <w:color w:val="000000"/>
                <w:spacing w:val="0"/>
                <w:sz w:val="22"/>
                <w:u w:val="none"/>
                <w:vertAlign w:val="baseline"/>
              </w:rPr>
              <w:t xml:space="preserve">㎡  </w:t>
            </w:r>
          </w:p>
        </w:tc>
        <w:tc>
          <w:tcPr>
            <w:tcW w:w="1504"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rFonts w:ascii="宋体" w:hAnsi="宋体" w:eastAsia="宋体" w:cs="宋体"/>
                <w:sz w:val="22"/>
              </w:rPr>
            </w:pPr>
            <w:r>
              <w:rPr>
                <w:rFonts w:ascii="宋体" w:hAnsi="宋体" w:eastAsia="宋体" w:cs="宋体"/>
                <w:i w:val="false"/>
                <w:strike w:val="false"/>
                <w:color w:val="000000"/>
                <w:spacing w:val="0"/>
                <w:sz w:val="22"/>
                <w:u w:val="none"/>
                <w:vertAlign w:val="baseline"/>
              </w:rPr>
              <w:t xml:space="preserve">16583.11 </w:t>
            </w:r>
          </w:p>
        </w:tc>
        <w:tc>
          <w:tcPr>
            <w:tcW w:w="1956"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rFonts w:ascii="宋体" w:hAnsi="宋体" w:eastAsia="宋体" w:cs="宋体"/>
                <w:sz w:val="22"/>
              </w:rPr>
            </w:pPr>
            <w:r>
              <w:rPr>
                <w:rFonts w:ascii="宋体" w:hAnsi="宋体" w:eastAsia="宋体" w:cs="宋体"/>
                <w:sz w:val="22"/>
              </w:rPr>
              <w:t>每MW占用屋顶面积约7000</w:t>
            </w:r>
            <w:r>
              <w:rPr>
                <w:rFonts w:ascii="宋体" w:hAnsi="宋体" w:eastAsia="宋体" w:cs="宋体"/>
                <w:i w:val="false"/>
                <w:strike w:val="false"/>
                <w:color w:val="000000"/>
                <w:spacing w:val="0"/>
                <w:sz w:val="22"/>
                <w:u w:val="none"/>
                <w:vertAlign w:val="baseline"/>
              </w:rPr>
              <w:t>㎡ </w:t>
            </w:r>
          </w:p>
        </w:tc>
      </w:tr>
      <w:tr>
        <w:trPr>
          <w:trHeight w:val="320" w:hRule="atLeast"/>
        </w:trPr>
        <w:tc>
          <w:tcPr>
            <w:tcW w:w="1023"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rFonts w:ascii="宋体" w:hAnsi="宋体" w:eastAsia="宋体" w:cs="宋体"/>
                <w:sz w:val="22"/>
              </w:rPr>
            </w:pPr>
            <w:r>
              <w:rPr>
                <w:rFonts w:ascii="宋体" w:hAnsi="宋体" w:eastAsia="宋体" w:cs="宋体"/>
                <w:i w:val="false"/>
                <w:strike w:val="false"/>
                <w:color w:val="000000"/>
                <w:spacing w:val="0"/>
                <w:sz w:val="22"/>
                <w:u w:val="none"/>
                <w:vertAlign w:val="baseline"/>
              </w:rPr>
              <w:t>4</w:t>
            </w:r>
          </w:p>
        </w:tc>
        <w:tc>
          <w:tcPr>
            <w:tcW w:w="2541"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rFonts w:ascii="宋体" w:hAnsi="宋体" w:eastAsia="宋体" w:cs="宋体"/>
                <w:color w:val="000000"/>
                <w:sz w:val="22"/>
              </w:rPr>
            </w:pPr>
            <w:r>
              <w:rPr>
                <w:rFonts w:ascii="宋体" w:hAnsi="宋体" w:eastAsia="宋体" w:cs="宋体"/>
                <w:color w:val="000000"/>
                <w:sz w:val="22"/>
              </w:rPr>
              <w:t>占用闲置空地面积</w:t>
            </w:r>
          </w:p>
        </w:tc>
        <w:tc>
          <w:tcPr>
            <w:tcW w:w="1419"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rFonts w:ascii="宋体" w:hAnsi="宋体" w:eastAsia="宋体" w:cs="宋体"/>
                <w:sz w:val="22"/>
              </w:rPr>
            </w:pPr>
            <w:r>
              <w:rPr>
                <w:rFonts w:ascii="宋体" w:hAnsi="宋体" w:eastAsia="宋体" w:cs="宋体"/>
                <w:i w:val="false"/>
                <w:strike w:val="false"/>
                <w:color w:val="000000"/>
                <w:spacing w:val="0"/>
                <w:sz w:val="22"/>
                <w:u w:val="none"/>
                <w:vertAlign w:val="baseline"/>
              </w:rPr>
              <w:t xml:space="preserve">㎡   </w:t>
            </w:r>
          </w:p>
        </w:tc>
        <w:tc>
          <w:tcPr>
            <w:tcW w:w="1504"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rFonts w:ascii="宋体" w:hAnsi="宋体" w:eastAsia="宋体" w:cs="宋体"/>
                <w:sz w:val="22"/>
              </w:rPr>
            </w:pPr>
            <w:r>
              <w:rPr>
                <w:rFonts w:ascii="宋体" w:hAnsi="宋体" w:eastAsia="宋体" w:cs="宋体"/>
                <w:i w:val="false"/>
                <w:strike w:val="false"/>
                <w:color w:val="000000"/>
                <w:spacing w:val="0"/>
                <w:sz w:val="22"/>
                <w:u w:val="none"/>
                <w:vertAlign w:val="baseline"/>
              </w:rPr>
              <w:t xml:space="preserve">5677.13 </w:t>
            </w:r>
          </w:p>
        </w:tc>
        <w:tc>
          <w:tcPr>
            <w:tcW w:w="1956"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rFonts w:ascii="宋体" w:hAnsi="宋体" w:eastAsia="宋体" w:cs="宋体"/>
                <w:sz w:val="22"/>
              </w:rPr>
            </w:pPr>
          </w:p>
        </w:tc>
      </w:tr>
    </w:tbl>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rPr>
        <w:t>1.1.6 建设工期</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本项目建设期为0.5年（含建设期准备工作），计划2025年5月开工，预计2025年11月竣工。其中，建设期第0.5年开始运营。</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rPr>
        <w:t>1.1.7 投资规模和资金来源</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总投资4085.49万元，其中项目工程费用3651.12万元，占总投资的89.37%；工程建设其它费用201.42万元，占总投资的4.93%；预备费192.63万元，占总投资的4.71%；建设期利息40.32万元，占总投资的0.99%。项目投资构成如下表所示:</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jc w:val="center"/>
        <w:textAlignment w:val="baseline"/>
        <w:rPr>
          <w:rFonts w:hint="eastAsia" w:ascii="宋体" w:hAnsi="宋体" w:eastAsia="宋体" w:cs="宋体"/>
          <w:b/>
          <w:bCs/>
          <w:sz w:val="28"/>
          <w:szCs w:val="28"/>
        </w:rPr>
      </w:pPr>
      <w:r>
        <w:rPr>
          <w:rFonts w:hint="eastAsia" w:ascii="宋体" w:hAnsi="宋体" w:eastAsia="宋体" w:cs="宋体"/>
          <w:b/>
          <w:bCs/>
          <w:sz w:val="28"/>
          <w:szCs w:val="28"/>
        </w:rPr>
        <w:t>项目投资构成一览表</w:t>
      </w:r>
    </w:p>
    <w:tbl>
      <w:tblPr>
        <w:tblStyle w:val="000016"/>
        <w:tblW w:w="0" w:type="auto"/>
        <w:jc w:val="center"/>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Layout w:type="fixed"/>
        <w:tblCellMar>
          <w:top w:w="0" w:type="dxa"/>
          <w:left w:w="108" w:type="dxa"/>
          <w:bottom w:w="0" w:type="dxa"/>
          <w:right w:w="108" w:type="dxa"/>
        </w:tblCellMar>
      </w:tblPr>
      <w:tblGrid>
        <w:gridCol w:w="885"/>
        <w:gridCol w:w="2985"/>
        <w:gridCol w:w="2644"/>
        <w:gridCol w:w="2005"/>
      </w:tblGrid>
      <w:tr>
        <w:trPr>
          <w:trHeight w:val="618" w:hRule="atLeast"/>
          <w:tblHeader/>
          <w:jc w:val="center"/>
        </w:trPr>
        <w:tc>
          <w:tcPr>
            <w:tcW w:w="8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序号</w:t>
            </w:r>
          </w:p>
        </w:tc>
        <w:tc>
          <w:tcPr>
            <w:tcW w:w="29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工程或费用名称</w:t>
            </w:r>
          </w:p>
        </w:tc>
        <w:tc>
          <w:tcPr>
            <w:tcW w:w="2644"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投资额</w:t>
            </w:r>
          </w:p>
        </w:tc>
        <w:tc>
          <w:tcPr>
            <w:tcW w:w="200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比例（%）</w:t>
            </w:r>
          </w:p>
        </w:tc>
      </w:tr>
      <w:tr>
        <w:trPr>
          <w:trHeight w:val="504" w:hRule="atLeast"/>
          <w:jc w:val="center"/>
        </w:trPr>
        <w:tc>
          <w:tcPr>
            <w:tcW w:w="8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一</w:t>
            </w:r>
          </w:p>
        </w:tc>
        <w:tc>
          <w:tcPr>
            <w:tcW w:w="29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工程费用</w:t>
            </w:r>
          </w:p>
        </w:tc>
        <w:tc>
          <w:tcPr>
            <w:tcW w:w="2644" w:type="dxa"/>
            <w:tcBorders>
              <w:tl2br w:val="nil"/>
              <w:tr2bl w:val="nil"/>
            </w:tcBorders>
            <w:tcMar>
              <w:top w:w="0" w:type="dxa"/>
              <w:left w:w="108" w:type="dxa"/>
              <w:bottom w:w="0" w:type="dxa"/>
              <w:right w:w="108" w:type="dxa"/>
            </w:tcMar>
            <w:vAlign w:val="center"/>
          </w:tcPr>
          <w:p>
            <w:pPr>
              <w:widowControl w:val="false"/>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3651.12</w:t>
            </w:r>
          </w:p>
        </w:tc>
        <w:tc>
          <w:tcPr>
            <w:tcW w:w="200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89.37</w:t>
            </w:r>
            <w:r>
              <w:rPr>
                <w:rFonts w:hint="eastAsia" w:ascii="宋体" w:hAnsi="宋体" w:eastAsia="宋体" w:cs="宋体"/>
                <w:color w:val="auto"/>
                <w:sz w:val="21"/>
                <w:szCs w:val="21"/>
              </w:rPr>
              <w:t>%</w:t>
            </w:r>
          </w:p>
        </w:tc>
      </w:tr>
      <w:tr>
        <w:trPr>
          <w:trHeight w:val="530" w:hRule="atLeast"/>
          <w:jc w:val="center"/>
        </w:trPr>
        <w:tc>
          <w:tcPr>
            <w:tcW w:w="8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val="en-US" w:eastAsia="zh-CN"/>
              </w:rPr>
              <w:t>1</w:t>
            </w:r>
          </w:p>
        </w:tc>
        <w:tc>
          <w:tcPr>
            <w:tcW w:w="29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000000"/>
                <w:sz w:val="21"/>
                <w:szCs w:val="21"/>
              </w:rPr>
            </w:pPr>
            <w:r>
              <w:rPr>
                <w:rFonts w:hint="eastAsia" w:ascii="宋体" w:hAnsi="宋体" w:eastAsia="宋体" w:cs="宋体"/>
                <w:color w:val="000000"/>
                <w:sz w:val="21"/>
                <w:szCs w:val="21"/>
              </w:rPr>
              <w:t>光伏设备工程</w:t>
            </w:r>
          </w:p>
        </w:tc>
        <w:tc>
          <w:tcPr>
            <w:tcW w:w="2644" w:type="dxa"/>
            <w:tcBorders>
              <w:tl2br w:val="nil"/>
              <w:tr2bl w:val="nil"/>
            </w:tcBorders>
            <w:tcMar>
              <w:top w:w="0" w:type="dxa"/>
              <w:left w:w="108" w:type="dxa"/>
              <w:bottom w:w="0" w:type="dxa"/>
              <w:right w:w="108" w:type="dxa"/>
            </w:tcMar>
            <w:vAlign w:val="center"/>
          </w:tcPr>
          <w:p>
            <w:pPr>
              <w:widowControl w:val="false"/>
              <w:jc w:val="center"/>
              <w:rPr>
                <w:rFonts w:hint="default"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908.94</w:t>
            </w:r>
          </w:p>
        </w:tc>
        <w:tc>
          <w:tcPr>
            <w:tcW w:w="2005" w:type="dxa"/>
            <w:tcBorders>
              <w:tl2br w:val="nil"/>
              <w:tr2bl w:val="nil"/>
            </w:tcBorders>
            <w:tcMar>
              <w:top w:w="0" w:type="dxa"/>
              <w:left w:w="108" w:type="dxa"/>
              <w:bottom w:w="0" w:type="dxa"/>
              <w:right w:w="108" w:type="dxa"/>
            </w:tcMar>
            <w:vAlign w:val="center"/>
          </w:tcPr>
          <w:p>
            <w:pPr>
              <w:widowControl w:val="false"/>
              <w:jc w:val="center"/>
              <w:rPr>
                <w:rFonts w:hint="default" w:ascii="宋体" w:hAnsi="宋体" w:eastAsia="宋体" w:cs="宋体"/>
                <w:color w:val="000000"/>
                <w:sz w:val="21"/>
                <w:szCs w:val="21"/>
                <w:lang w:val="en-US" w:eastAsia="zh-CN"/>
              </w:rPr>
            </w:pPr>
            <w:r>
              <w:rPr>
                <w:rFonts w:hint="default" w:ascii="宋体" w:hAnsi="宋体" w:eastAsia="宋体" w:cs="宋体"/>
                <w:color w:val="000000"/>
                <w:sz w:val="21"/>
                <w:szCs w:val="21"/>
                <w:lang w:val="en-US" w:eastAsia="zh-CN"/>
              </w:rPr>
              <w:t>22.24%</w:t>
            </w:r>
          </w:p>
        </w:tc>
      </w:tr>
      <w:tr>
        <w:trPr>
          <w:trHeight w:val="530" w:hRule="atLeast"/>
          <w:jc w:val="center"/>
        </w:trPr>
        <w:tc>
          <w:tcPr>
            <w:tcW w:w="8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2</w:t>
            </w:r>
          </w:p>
        </w:tc>
        <w:tc>
          <w:tcPr>
            <w:tcW w:w="29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000000"/>
                <w:sz w:val="21"/>
                <w:szCs w:val="21"/>
              </w:rPr>
            </w:pPr>
            <w:r>
              <w:rPr>
                <w:rFonts w:hint="eastAsia" w:ascii="宋体" w:hAnsi="宋体" w:eastAsia="宋体" w:cs="宋体"/>
                <w:color w:val="000000"/>
                <w:sz w:val="21"/>
                <w:szCs w:val="21"/>
              </w:rPr>
              <w:t>储能设备工程</w:t>
            </w:r>
          </w:p>
        </w:tc>
        <w:tc>
          <w:tcPr>
            <w:tcW w:w="2644" w:type="dxa"/>
            <w:tcBorders>
              <w:tl2br w:val="nil"/>
              <w:tr2bl w:val="nil"/>
            </w:tcBorders>
            <w:tcMar>
              <w:top w:w="0" w:type="dxa"/>
              <w:left w:w="108" w:type="dxa"/>
              <w:bottom w:w="0" w:type="dxa"/>
              <w:right w:w="108" w:type="dxa"/>
            </w:tcMar>
            <w:vAlign w:val="center"/>
          </w:tcPr>
          <w:p>
            <w:pPr>
              <w:widowControl w:val="false"/>
              <w:jc w:val="center"/>
              <w:rPr>
                <w:rFonts w:hint="default" w:ascii="宋体" w:hAnsi="宋体" w:eastAsia="宋体" w:cs="宋体"/>
                <w:color w:val="000000"/>
                <w:sz w:val="21"/>
                <w:szCs w:val="21"/>
                <w:lang w:val="en-US" w:eastAsia="zh-CN"/>
              </w:rPr>
            </w:pPr>
            <w:r>
              <w:rPr>
                <w:rFonts w:hint="default" w:ascii="宋体" w:hAnsi="宋体" w:eastAsia="宋体" w:cs="宋体"/>
                <w:color w:val="000000"/>
                <w:sz w:val="21"/>
                <w:szCs w:val="21"/>
                <w:lang w:val="en-US" w:eastAsia="zh-CN"/>
              </w:rPr>
              <w:t>2521.62</w:t>
            </w:r>
          </w:p>
        </w:tc>
        <w:tc>
          <w:tcPr>
            <w:tcW w:w="2005" w:type="dxa"/>
            <w:tcBorders>
              <w:tl2br w:val="nil"/>
              <w:tr2bl w:val="nil"/>
            </w:tcBorders>
            <w:tcMar>
              <w:top w:w="0" w:type="dxa"/>
              <w:left w:w="108" w:type="dxa"/>
              <w:bottom w:w="0" w:type="dxa"/>
              <w:right w:w="108" w:type="dxa"/>
            </w:tcMar>
            <w:vAlign w:val="center"/>
          </w:tcPr>
          <w:p>
            <w:pPr>
              <w:widowControl w:val="false"/>
              <w:jc w:val="center"/>
              <w:rPr>
                <w:rFonts w:hint="default" w:ascii="宋体" w:hAnsi="宋体" w:eastAsia="宋体" w:cs="宋体"/>
                <w:color w:val="000000"/>
                <w:sz w:val="21"/>
                <w:szCs w:val="21"/>
                <w:lang w:val="en-US" w:eastAsia="zh-CN"/>
              </w:rPr>
            </w:pPr>
            <w:r>
              <w:rPr>
                <w:rFonts w:hint="default" w:ascii="宋体" w:hAnsi="宋体" w:eastAsia="宋体" w:cs="宋体"/>
                <w:color w:val="000000"/>
                <w:sz w:val="21"/>
                <w:szCs w:val="21"/>
                <w:lang w:val="en-US" w:eastAsia="zh-CN"/>
              </w:rPr>
              <w:t>61.72%</w:t>
            </w:r>
          </w:p>
        </w:tc>
      </w:tr>
      <w:tr>
        <w:trPr>
          <w:trHeight w:val="530" w:hRule="atLeast"/>
          <w:jc w:val="center"/>
        </w:trPr>
        <w:tc>
          <w:tcPr>
            <w:tcW w:w="8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000000"/>
                <w:sz w:val="21"/>
                <w:szCs w:val="21"/>
              </w:rPr>
            </w:pPr>
            <w:r>
              <w:rPr>
                <w:rFonts w:hint="eastAsia" w:ascii="宋体" w:hAnsi="宋体" w:eastAsia="宋体" w:cs="宋体"/>
                <w:color w:val="000000"/>
                <w:sz w:val="21"/>
                <w:szCs w:val="21"/>
              </w:rPr>
              <w:t>3</w:t>
            </w:r>
          </w:p>
        </w:tc>
        <w:tc>
          <w:tcPr>
            <w:tcW w:w="29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000000"/>
                <w:sz w:val="21"/>
                <w:szCs w:val="21"/>
              </w:rPr>
            </w:pPr>
            <w:r>
              <w:rPr>
                <w:rFonts w:hint="eastAsia" w:ascii="宋体" w:hAnsi="宋体" w:eastAsia="宋体" w:cs="宋体"/>
                <w:color w:val="000000"/>
                <w:sz w:val="21"/>
                <w:szCs w:val="21"/>
              </w:rPr>
              <w:t>园区配套工程</w:t>
            </w:r>
          </w:p>
        </w:tc>
        <w:tc>
          <w:tcPr>
            <w:tcW w:w="2644" w:type="dxa"/>
            <w:tcBorders>
              <w:tl2br w:val="nil"/>
              <w:tr2bl w:val="nil"/>
            </w:tcBorders>
            <w:tcMar>
              <w:top w:w="0" w:type="dxa"/>
              <w:left w:w="108" w:type="dxa"/>
              <w:bottom w:w="0" w:type="dxa"/>
              <w:right w:w="108" w:type="dxa"/>
            </w:tcMar>
            <w:vAlign w:val="center"/>
          </w:tcPr>
          <w:p>
            <w:pPr>
              <w:widowControl w:val="false"/>
              <w:jc w:val="center"/>
              <w:rPr>
                <w:rFonts w:hint="default" w:ascii="宋体" w:hAnsi="宋体" w:eastAsia="宋体" w:cs="宋体"/>
                <w:color w:val="000000"/>
                <w:sz w:val="21"/>
                <w:szCs w:val="21"/>
                <w:lang w:val="en-US" w:eastAsia="zh-CN"/>
              </w:rPr>
            </w:pPr>
            <w:r>
              <w:rPr>
                <w:rFonts w:hint="default" w:ascii="宋体" w:hAnsi="宋体" w:eastAsia="宋体" w:cs="宋体"/>
                <w:color w:val="000000"/>
                <w:sz w:val="21"/>
                <w:szCs w:val="21"/>
                <w:lang w:val="en-US" w:eastAsia="zh-CN"/>
              </w:rPr>
              <w:t>220.56</w:t>
            </w:r>
          </w:p>
        </w:tc>
        <w:tc>
          <w:tcPr>
            <w:tcW w:w="200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000000"/>
                <w:sz w:val="21"/>
                <w:szCs w:val="21"/>
              </w:rPr>
            </w:pPr>
            <w:r>
              <w:rPr>
                <w:rFonts w:hint="eastAsia" w:ascii="宋体" w:hAnsi="宋体" w:eastAsia="宋体" w:cs="宋体"/>
                <w:color w:val="000000"/>
                <w:sz w:val="21"/>
                <w:szCs w:val="21"/>
              </w:rPr>
              <w:t>5.39%</w:t>
            </w:r>
          </w:p>
        </w:tc>
      </w:tr>
      <w:tr>
        <w:trPr>
          <w:trHeight w:val="530" w:hRule="atLeast"/>
          <w:jc w:val="center"/>
        </w:trPr>
        <w:tc>
          <w:tcPr>
            <w:tcW w:w="8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二</w:t>
            </w:r>
          </w:p>
        </w:tc>
        <w:tc>
          <w:tcPr>
            <w:tcW w:w="29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工程建设其他费用</w:t>
            </w:r>
          </w:p>
        </w:tc>
        <w:tc>
          <w:tcPr>
            <w:tcW w:w="2644" w:type="dxa"/>
            <w:tcBorders>
              <w:tl2br w:val="nil"/>
              <w:tr2bl w:val="nil"/>
            </w:tcBorders>
            <w:tcMar>
              <w:top w:w="0" w:type="dxa"/>
              <w:left w:w="108" w:type="dxa"/>
              <w:bottom w:w="0" w:type="dxa"/>
              <w:right w:w="108" w:type="dxa"/>
            </w:tcMar>
            <w:vAlign w:val="center"/>
          </w:tcPr>
          <w:p>
            <w:pPr>
              <w:widowControl w:val="false"/>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201.42</w:t>
            </w:r>
          </w:p>
        </w:tc>
        <w:tc>
          <w:tcPr>
            <w:tcW w:w="200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4.93</w:t>
            </w:r>
            <w:r>
              <w:rPr>
                <w:rFonts w:hint="eastAsia" w:ascii="宋体" w:hAnsi="宋体" w:eastAsia="宋体" w:cs="宋体"/>
                <w:color w:val="auto"/>
                <w:sz w:val="21"/>
                <w:szCs w:val="21"/>
              </w:rPr>
              <w:t>%</w:t>
            </w:r>
          </w:p>
        </w:tc>
      </w:tr>
      <w:tr>
        <w:trPr>
          <w:trHeight w:val="530" w:hRule="atLeast"/>
          <w:jc w:val="center"/>
        </w:trPr>
        <w:tc>
          <w:tcPr>
            <w:tcW w:w="8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三</w:t>
            </w:r>
          </w:p>
        </w:tc>
        <w:tc>
          <w:tcPr>
            <w:tcW w:w="29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预备费</w:t>
            </w:r>
          </w:p>
        </w:tc>
        <w:tc>
          <w:tcPr>
            <w:tcW w:w="2644" w:type="dxa"/>
            <w:tcBorders>
              <w:tl2br w:val="nil"/>
              <w:tr2bl w:val="nil"/>
            </w:tcBorders>
            <w:tcMar>
              <w:top w:w="0" w:type="dxa"/>
              <w:left w:w="108" w:type="dxa"/>
              <w:bottom w:w="0" w:type="dxa"/>
              <w:right w:w="108" w:type="dxa"/>
            </w:tcMar>
            <w:vAlign w:val="center"/>
          </w:tcPr>
          <w:p>
            <w:pPr>
              <w:widowControl w:val="false"/>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192.63</w:t>
            </w:r>
          </w:p>
        </w:tc>
        <w:tc>
          <w:tcPr>
            <w:tcW w:w="200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4.71</w:t>
            </w:r>
            <w:r>
              <w:rPr>
                <w:rFonts w:hint="eastAsia" w:ascii="宋体" w:hAnsi="宋体" w:eastAsia="宋体" w:cs="宋体"/>
                <w:color w:val="auto"/>
                <w:sz w:val="21"/>
                <w:szCs w:val="21"/>
              </w:rPr>
              <w:t>%</w:t>
            </w:r>
          </w:p>
        </w:tc>
      </w:tr>
      <w:tr>
        <w:trPr>
          <w:trHeight w:val="530" w:hRule="atLeast"/>
          <w:jc w:val="center"/>
        </w:trPr>
        <w:tc>
          <w:tcPr>
            <w:tcW w:w="8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四</w:t>
            </w:r>
          </w:p>
        </w:tc>
        <w:tc>
          <w:tcPr>
            <w:tcW w:w="29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建设期利息</w:t>
            </w:r>
          </w:p>
        </w:tc>
        <w:tc>
          <w:tcPr>
            <w:tcW w:w="2644"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40.32</w:t>
            </w:r>
          </w:p>
        </w:tc>
        <w:tc>
          <w:tcPr>
            <w:tcW w:w="200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0.99</w:t>
            </w:r>
            <w:r>
              <w:rPr>
                <w:rFonts w:hint="eastAsia" w:ascii="宋体" w:hAnsi="宋体" w:eastAsia="宋体" w:cs="宋体"/>
                <w:color w:val="auto"/>
                <w:sz w:val="21"/>
                <w:szCs w:val="21"/>
              </w:rPr>
              <w:t>%</w:t>
            </w:r>
          </w:p>
        </w:tc>
      </w:tr>
      <w:tr>
        <w:trPr>
          <w:trHeight w:val="530" w:hRule="atLeast"/>
          <w:jc w:val="center"/>
        </w:trPr>
        <w:tc>
          <w:tcPr>
            <w:tcW w:w="8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五</w:t>
            </w:r>
          </w:p>
        </w:tc>
        <w:tc>
          <w:tcPr>
            <w:tcW w:w="29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固定资产投资</w:t>
            </w:r>
          </w:p>
        </w:tc>
        <w:tc>
          <w:tcPr>
            <w:tcW w:w="2644"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4085.49</w:t>
            </w:r>
          </w:p>
        </w:tc>
        <w:tc>
          <w:tcPr>
            <w:tcW w:w="200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100.00%</w:t>
            </w:r>
          </w:p>
        </w:tc>
      </w:tr>
      <w:tr>
        <w:trPr>
          <w:trHeight w:val="476" w:hRule="atLeast"/>
          <w:jc w:val="center"/>
        </w:trPr>
        <w:tc>
          <w:tcPr>
            <w:tcW w:w="8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六</w:t>
            </w:r>
          </w:p>
        </w:tc>
        <w:tc>
          <w:tcPr>
            <w:tcW w:w="29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项目总投资</w:t>
            </w:r>
          </w:p>
        </w:tc>
        <w:tc>
          <w:tcPr>
            <w:tcW w:w="2644"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4085.49</w:t>
            </w:r>
          </w:p>
        </w:tc>
        <w:tc>
          <w:tcPr>
            <w:tcW w:w="200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100.00%</w:t>
            </w:r>
          </w:p>
        </w:tc>
      </w:tr>
    </w:tbl>
    <w:p>
      <w:pPr>
        <w:keepNext w:val="false"/>
        <w:keepLines w:val="false"/>
        <w:pageBreakBefore w:val="false"/>
        <w:widowControl w:val="false"/>
        <w:pBdr>
          <w:bottom w:val="none" w:color="auto" w:sz="0" w:space="0"/>
        </w:pBdr>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在资金筹措方面，项目总投资由资本金和项目融资或其他债务性资金两部分构成，一是资本金885.49万元，占总投资的21.67%，二是项目融资、企业自筹资金或者其他债务性资金3200万元，占总投资的78.33%。</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rPr>
        <w:t>1.1.</w:t>
      </w:r>
      <w:r>
        <w:rPr>
          <w:rFonts w:hint="eastAsia" w:ascii="宋体" w:hAnsi="宋体" w:eastAsia="宋体" w:cs="宋体"/>
          <w:b/>
          <w:bCs/>
          <w:sz w:val="28"/>
          <w:szCs w:val="28"/>
          <w:lang w:val="en-US" w:eastAsia="zh-CN"/>
        </w:rPr>
        <w:t>8</w:t>
      </w:r>
      <w:r>
        <w:rPr>
          <w:rFonts w:hint="eastAsia" w:ascii="宋体" w:hAnsi="宋体" w:eastAsia="宋体" w:cs="宋体"/>
          <w:b/>
          <w:bCs/>
          <w:sz w:val="28"/>
          <w:szCs w:val="28"/>
        </w:rPr>
        <w:t xml:space="preserve"> 项目定性</w:t>
      </w:r>
    </w:p>
    <w:p>
      <w:pPr>
        <w:snapToGrid/>
        <w:spacing w:line="240" w:lineRule="auto"/>
        <w:ind w:firstLineChars="200"/>
        <w:rPr>
          <w:rFonts w:ascii="宋体" w:hAnsi="宋体" w:eastAsia="宋体" w:cs="宋体"/>
          <w:i w:val="false"/>
          <w:strike w:val="false"/>
          <w:spacing w:val="0"/>
          <w:sz w:val="28"/>
          <w:u w:val="none"/>
        </w:rPr>
      </w:pPr>
      <w:r>
        <w:rPr>
          <w:rFonts w:ascii="宋体" w:hAnsi="宋体" w:eastAsia="宋体" w:cs="宋体"/>
          <w:i w:val="false"/>
          <w:strike w:val="false"/>
          <w:spacing w:val="0"/>
          <w:sz w:val="28"/>
          <w:u w:val="none"/>
        </w:rPr>
        <w:t>本项目精准定位为新能源源网荷储一体化标杆项目，专为新乡市腾飞纸业有限公司定制绿色电力能源服务方案。</w:t>
      </w:r>
    </w:p>
    <w:p>
      <w:pPr>
        <w:snapToGrid/>
        <w:spacing w:line="240" w:lineRule="auto"/>
        <w:ind w:firstLineChars="200"/>
        <w:rPr>
          <w:rFonts w:ascii="宋体" w:hAnsi="宋体" w:eastAsia="宋体" w:cs="宋体"/>
          <w:i w:val="false"/>
          <w:strike w:val="false"/>
          <w:spacing w:val="0"/>
          <w:sz w:val="28"/>
          <w:u w:val="none"/>
        </w:rPr>
      </w:pPr>
      <w:r>
        <w:rPr>
          <w:rFonts w:ascii="宋体" w:hAnsi="宋体" w:eastAsia="宋体" w:cs="宋体"/>
          <w:i w:val="false"/>
          <w:strike w:val="false"/>
          <w:spacing w:val="0"/>
          <w:sz w:val="28"/>
          <w:u w:val="none"/>
        </w:rPr>
        <w:t>新乡市腾飞纸业有限公司于 2004 年在获嘉县产业集聚区成立，现有员工 300 余人，技术力量雄厚，注册资金 2380 万。主营无碳复写纸等产品，旗下品牌广泛用于多领域单据制作。其原料优质，生产设备先进且配备智能控制系统，管理水平领先，通过 ISO9001 认证，获多项荣誉。凭借技术与信誉，产品畅销国内外，市场占有率持续攀升。公司用电量稳定，为生产筑牢根基。未来 5 - 10 年，面对行业更高要求，凭借多方面优势，公司将持续创新，拓展市场，有望在行业中不断进阶，发展潜力巨大。</w:t>
      </w:r>
    </w:p>
    <w:p>
      <w:pPr>
        <w:pBdr>
          <w:bottom w:val="none" w:color="auto" w:sz="0" w:space="0"/>
        </w:pBdr>
        <w:snapToGrid/>
        <w:spacing w:line="240" w:lineRule="auto"/>
        <w:ind w:firstLineChars="200"/>
        <w:rPr/>
      </w:pPr>
      <w:r>
        <w:rPr>
          <w:rFonts w:ascii="宋体" w:hAnsi="宋体" w:eastAsia="宋体" w:cs="宋体"/>
          <w:i w:val="false"/>
          <w:strike w:val="false"/>
          <w:spacing w:val="0"/>
          <w:sz w:val="28"/>
          <w:u w:val="none"/>
        </w:rPr>
        <w:t>项目充分利用项目所在地的自然条件，部署高效光伏发电系统，并与先进的储能设备协同工作，深度挖掘自然清洁能源潜力。结合智能微电网技术，实现了电力资源的精确分配与高效传输，最大限度地减少了线路损耗，确保了能源供应的稳定性和可靠性。</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ascii="宋体" w:hAnsi="宋体" w:eastAsia="宋体" w:cs="宋体"/>
          <w:i w:val="false"/>
          <w:strike w:val="false"/>
          <w:spacing w:val="0"/>
          <w:sz w:val="28"/>
          <w:u w:val="none"/>
        </w:rPr>
        <w:t>项目紧密围绕企业的实际需求，依托源网荷储一体化系统的协同优势，有效缓解了电价波动风险，为企业提供了低成本、高质量的电力供应，显著降低了其生产成本，有力提升了市场竞争力。项目还高度重视能源的储存与灵活调度，通过储能系统在用电低谷期储存电能，并在高峰期释放，实现了电力资源的时空优化配置，大幅提升了区域能源利用效率。</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rPr>
        <w:t>1.1.</w:t>
      </w:r>
      <w:r>
        <w:rPr>
          <w:rFonts w:hint="eastAsia" w:ascii="宋体" w:hAnsi="宋体" w:eastAsia="宋体" w:cs="宋体"/>
          <w:b/>
          <w:bCs/>
          <w:sz w:val="28"/>
          <w:szCs w:val="28"/>
          <w:lang w:val="en-US" w:eastAsia="zh-CN"/>
        </w:rPr>
        <w:t>9</w:t>
      </w:r>
      <w:r>
        <w:rPr>
          <w:rFonts w:hint="eastAsia" w:ascii="宋体" w:hAnsi="宋体" w:eastAsia="宋体" w:cs="宋体"/>
          <w:b/>
          <w:bCs/>
          <w:sz w:val="28"/>
          <w:szCs w:val="28"/>
        </w:rPr>
        <w:t xml:space="preserve"> 项目运营模式</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000000"/>
          <w:spacing w:val="0"/>
          <w:w w:val="100"/>
          <w:kern w:val="2"/>
          <w:position w:val="0"/>
          <w:sz w:val="28"/>
          <w:szCs w:val="28"/>
          <w:lang w:val="en-US" w:eastAsia="zh-CN" w:bidi="zh-CN"/>
        </w:rPr>
      </w:pPr>
      <w:r>
        <w:rPr>
          <w:rFonts w:ascii="宋体" w:hAnsi="宋体" w:eastAsia="宋体" w:cs="宋体"/>
          <w:i w:val="false"/>
          <w:strike w:val="false"/>
          <w:spacing w:val="0"/>
          <w:sz w:val="28"/>
          <w:u w:val="none"/>
        </w:rPr>
        <w:t>获嘉县产业集聚区中小企业创业孵化园的源网荷储一体化项目，由获嘉县产业集聚区创业孵化园有限公司全面负责其资金筹措、建设实施及日常运营。该项目创新性地整合光伏发电、储能调峰与用电需求，实现按需直供新能源绿色电力，打破了传统“隔墙售电”限制。此运营模式不仅为园内及外部企业提供安全、稳定、环保且成本效益高的电力解决方案，助力企业成本控制与转型升级，还积极促进了我国“双碳”目标的实现，展现了显著的环保与经济效益</w:t>
      </w:r>
      <w:r>
        <w:rPr>
          <w:rFonts w:hint="eastAsia" w:ascii="宋体" w:hAnsi="宋体" w:eastAsia="宋体" w:cs="宋体"/>
          <w:snapToGrid/>
          <w:color w:val="000000"/>
          <w:spacing w:val="0"/>
          <w:w w:val="100"/>
          <w:kern w:val="2"/>
          <w:position w:val="0"/>
          <w:sz w:val="28"/>
          <w:szCs w:val="28"/>
          <w:lang w:val="en-US" w:eastAsia="zh-CN" w:bidi="zh-CN"/>
        </w:rPr>
        <w:t>。</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rPr>
        <w:t>1.1.</w:t>
      </w:r>
      <w:r>
        <w:rPr>
          <w:rFonts w:hint="eastAsia" w:ascii="宋体" w:hAnsi="宋体" w:eastAsia="宋体" w:cs="宋体"/>
          <w:b/>
          <w:bCs/>
          <w:sz w:val="28"/>
          <w:szCs w:val="28"/>
          <w:lang w:val="en-US" w:eastAsia="zh-CN"/>
        </w:rPr>
        <w:t>10</w:t>
      </w:r>
      <w:r>
        <w:rPr>
          <w:rFonts w:hint="eastAsia" w:ascii="宋体" w:hAnsi="宋体" w:eastAsia="宋体" w:cs="宋体"/>
          <w:b/>
          <w:bCs/>
          <w:sz w:val="28"/>
          <w:szCs w:val="28"/>
        </w:rPr>
        <w:t xml:space="preserve"> 主要经济技术指标</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主要经济技术指标一览表如下所示：</w:t>
      </w:r>
    </w:p>
    <w:bookmarkStart w:id="9" w:name="_Toc21351"/>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jc w:val="center"/>
        <w:textAlignment w:val="baseline"/>
        <w:rPr>
          <w:rFonts w:hint="eastAsia" w:ascii="宋体" w:hAnsi="宋体" w:eastAsia="宋体" w:cs="宋体"/>
          <w:b/>
          <w:bCs/>
          <w:sz w:val="28"/>
          <w:szCs w:val="28"/>
        </w:rPr>
      </w:pPr>
      <w:r>
        <w:rPr>
          <w:rFonts w:hint="eastAsia" w:ascii="宋体" w:hAnsi="宋体" w:eastAsia="宋体" w:cs="宋体"/>
          <w:b/>
          <w:bCs/>
          <w:sz w:val="28"/>
          <w:szCs w:val="28"/>
        </w:rPr>
        <w:t>主要经济技术指标一览表</w:t>
      </w:r>
      <w:bookmarkEnd w:id="9"/>
    </w:p>
    <w:tbl>
      <w:tblPr>
        <w:tblStyle w:val="000016"/>
        <w:tblW w:w="0" w:type="auto"/>
        <w:tblInd w:w="0" w:type="dxa"/>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Layout w:type="fixed"/>
        <w:tblCellMar>
          <w:top w:w="0" w:type="dxa"/>
          <w:left w:w="108" w:type="dxa"/>
          <w:bottom w:w="0" w:type="dxa"/>
          <w:right w:w="108" w:type="dxa"/>
        </w:tblCellMar>
      </w:tblPr>
      <w:tblGrid>
        <w:gridCol w:w="1209"/>
        <w:gridCol w:w="2856"/>
        <w:gridCol w:w="1380"/>
        <w:gridCol w:w="1335"/>
        <w:gridCol w:w="1290"/>
      </w:tblGrid>
      <w:tr>
        <w:trPr>
          <w:trHeight w:val="533"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序号</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科目</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单位</w:t>
            </w:r>
          </w:p>
        </w:tc>
        <w:tc>
          <w:tcPr>
            <w:tcW w:w="1335"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指标</w:t>
            </w:r>
          </w:p>
        </w:tc>
        <w:tc>
          <w:tcPr>
            <w:tcW w:w="129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备注</w:t>
            </w: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1</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项目规模总投资</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万元</w:t>
            </w:r>
          </w:p>
        </w:tc>
        <w:tc>
          <w:tcPr>
            <w:tcW w:w="1335" w:type="dxa"/>
            <w:tcBorders>
              <w:tl2br w:val="nil"/>
              <w:tr2bl w:val="nil"/>
            </w:tcBorders>
            <w:tcMar>
              <w:top w:w="0" w:type="dxa"/>
              <w:left w:w="0" w:type="dxa"/>
              <w:bottom w:w="0" w:type="dxa"/>
              <w:right w:w="0" w:type="dxa"/>
            </w:tcMar>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snapToGrid w:val="false"/>
                <w:color w:val="auto"/>
                <w:kern w:val="0"/>
                <w:sz w:val="21"/>
                <w:szCs w:val="21"/>
                <w:u w:val="none"/>
                <w:lang w:val="en-US" w:eastAsia="zh-CN" w:bidi="ar-SA"/>
              </w:rPr>
            </w:pPr>
            <w:r>
              <w:rPr>
                <w:rFonts w:hint="eastAsia" w:ascii="宋体" w:hAnsi="宋体" w:eastAsia="宋体" w:cs="宋体"/>
                <w:b w:val="false"/>
                <w:bCs w:val="false"/>
                <w:i w:val="false"/>
                <w:iCs w:val="false"/>
                <w:snapToGrid w:val="false"/>
                <w:color w:val="auto"/>
                <w:kern w:val="0"/>
                <w:sz w:val="21"/>
                <w:szCs w:val="21"/>
                <w:u w:val="none"/>
                <w:lang w:val="en-US" w:eastAsia="zh-CN" w:bidi="ar"/>
              </w:rPr>
              <w:t>4085.49</w:t>
            </w:r>
          </w:p>
        </w:tc>
        <w:tc>
          <w:tcPr>
            <w:tcW w:w="129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1.1</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建设投资</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万元</w:t>
            </w:r>
          </w:p>
        </w:tc>
        <w:tc>
          <w:tcPr>
            <w:tcW w:w="1335" w:type="dxa"/>
            <w:tcBorders>
              <w:tl2br w:val="nil"/>
              <w:tr2bl w:val="nil"/>
            </w:tcBorders>
            <w:tcMar>
              <w:top w:w="0" w:type="dxa"/>
              <w:left w:w="0" w:type="dxa"/>
              <w:bottom w:w="0" w:type="dxa"/>
              <w:right w:w="0" w:type="dxa"/>
            </w:tcMar>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snapToGrid w:val="false"/>
                <w:color w:val="auto"/>
                <w:kern w:val="0"/>
                <w:sz w:val="21"/>
                <w:szCs w:val="21"/>
                <w:u w:val="none"/>
                <w:lang w:val="en-US" w:eastAsia="zh-CN" w:bidi="ar-SA"/>
              </w:rPr>
            </w:pPr>
            <w:r>
              <w:rPr>
                <w:rFonts w:hint="eastAsia" w:ascii="宋体" w:hAnsi="宋体" w:eastAsia="宋体" w:cs="宋体"/>
                <w:b w:val="false"/>
                <w:bCs w:val="false"/>
                <w:i w:val="false"/>
                <w:iCs w:val="false"/>
                <w:snapToGrid w:val="false"/>
                <w:color w:val="auto"/>
                <w:kern w:val="0"/>
                <w:sz w:val="21"/>
                <w:szCs w:val="21"/>
                <w:u w:val="none"/>
                <w:lang w:val="en-US" w:eastAsia="zh-CN" w:bidi="ar"/>
              </w:rPr>
              <w:t>4045.17</w:t>
            </w:r>
          </w:p>
        </w:tc>
        <w:tc>
          <w:tcPr>
            <w:tcW w:w="129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1.2</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建设期利息</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万元</w:t>
            </w:r>
          </w:p>
        </w:tc>
        <w:tc>
          <w:tcPr>
            <w:tcW w:w="1335" w:type="dxa"/>
            <w:tcBorders>
              <w:tl2br w:val="nil"/>
              <w:tr2bl w:val="nil"/>
            </w:tcBorders>
            <w:tcMar>
              <w:top w:w="0" w:type="dxa"/>
              <w:left w:w="0" w:type="dxa"/>
              <w:bottom w:w="0" w:type="dxa"/>
              <w:right w:w="0" w:type="dxa"/>
            </w:tcMar>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snapToGrid w:val="false"/>
                <w:color w:val="auto"/>
                <w:kern w:val="0"/>
                <w:sz w:val="21"/>
                <w:szCs w:val="21"/>
                <w:u w:val="none"/>
                <w:lang w:val="en-US" w:eastAsia="zh-CN" w:bidi="ar-SA"/>
              </w:rPr>
            </w:pPr>
            <w:r>
              <w:rPr>
                <w:rFonts w:hint="eastAsia" w:ascii="宋体" w:hAnsi="宋体" w:eastAsia="宋体" w:cs="宋体"/>
                <w:b w:val="false"/>
                <w:bCs w:val="false"/>
                <w:i w:val="false"/>
                <w:iCs w:val="false"/>
                <w:snapToGrid w:val="false"/>
                <w:color w:val="auto"/>
                <w:kern w:val="0"/>
                <w:sz w:val="21"/>
                <w:szCs w:val="21"/>
                <w:u w:val="none"/>
                <w:lang w:val="en-US" w:eastAsia="zh-CN" w:bidi="ar"/>
              </w:rPr>
              <w:t>40.32</w:t>
            </w:r>
          </w:p>
        </w:tc>
        <w:tc>
          <w:tcPr>
            <w:tcW w:w="129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2</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年均收入</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万元</w:t>
            </w:r>
          </w:p>
        </w:tc>
        <w:tc>
          <w:tcPr>
            <w:tcW w:w="1335" w:type="dxa"/>
            <w:tcBorders>
              <w:tl2br w:val="nil"/>
              <w:tr2bl w:val="nil"/>
            </w:tcBorders>
            <w:tcMar>
              <w:top w:w="0" w:type="dxa"/>
              <w:left w:w="0" w:type="dxa"/>
              <w:bottom w:w="0" w:type="dxa"/>
              <w:right w:w="0" w:type="dxa"/>
            </w:tcMar>
            <w:vAlign w:val="center"/>
          </w:tcPr>
          <w:p>
            <w:pPr>
              <w:widowControl w:val="false"/>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560.94</w:t>
            </w:r>
          </w:p>
        </w:tc>
        <w:tc>
          <w:tcPr>
            <w:tcW w:w="129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3</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年均总成本</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万元</w:t>
            </w:r>
          </w:p>
        </w:tc>
        <w:tc>
          <w:tcPr>
            <w:tcW w:w="1335" w:type="dxa"/>
            <w:tcBorders>
              <w:tl2br w:val="nil"/>
              <w:tr2bl w:val="nil"/>
            </w:tcBorders>
            <w:tcMar>
              <w:top w:w="0" w:type="dxa"/>
              <w:left w:w="0" w:type="dxa"/>
              <w:bottom w:w="0" w:type="dxa"/>
              <w:right w:w="0" w:type="dxa"/>
            </w:tcMar>
            <w:vAlign w:val="center"/>
          </w:tcPr>
          <w:p>
            <w:pPr>
              <w:widowControl w:val="false"/>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337.25</w:t>
            </w:r>
          </w:p>
        </w:tc>
        <w:tc>
          <w:tcPr>
            <w:tcW w:w="129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3.1</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年均固定成本</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万元</w:t>
            </w:r>
          </w:p>
        </w:tc>
        <w:tc>
          <w:tcPr>
            <w:tcW w:w="1335" w:type="dxa"/>
            <w:tcBorders>
              <w:tl2br w:val="nil"/>
              <w:tr2bl w:val="nil"/>
            </w:tcBorders>
            <w:tcMar>
              <w:top w:w="0" w:type="dxa"/>
              <w:left w:w="0" w:type="dxa"/>
              <w:bottom w:w="0" w:type="dxa"/>
              <w:right w:w="0" w:type="dxa"/>
            </w:tcMar>
            <w:vAlign w:val="center"/>
          </w:tcPr>
          <w:p>
            <w:pPr>
              <w:widowControl w:val="false"/>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262.52</w:t>
            </w:r>
          </w:p>
        </w:tc>
        <w:tc>
          <w:tcPr>
            <w:tcW w:w="129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3.2</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年均可变成本</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万元</w:t>
            </w:r>
          </w:p>
        </w:tc>
        <w:tc>
          <w:tcPr>
            <w:tcW w:w="1335" w:type="dxa"/>
            <w:tcBorders>
              <w:tl2br w:val="nil"/>
              <w:tr2bl w:val="nil"/>
            </w:tcBorders>
            <w:tcMar>
              <w:top w:w="0" w:type="dxa"/>
              <w:left w:w="0" w:type="dxa"/>
              <w:bottom w:w="0" w:type="dxa"/>
              <w:right w:w="0" w:type="dxa"/>
            </w:tcMar>
            <w:vAlign w:val="center"/>
          </w:tcPr>
          <w:p>
            <w:pPr>
              <w:widowControl w:val="false"/>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54.93</w:t>
            </w:r>
          </w:p>
        </w:tc>
        <w:tc>
          <w:tcPr>
            <w:tcW w:w="129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4</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年均经营成本</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万元</w:t>
            </w:r>
          </w:p>
        </w:tc>
        <w:tc>
          <w:tcPr>
            <w:tcW w:w="1335" w:type="dxa"/>
            <w:tcBorders>
              <w:tl2br w:val="nil"/>
              <w:tr2bl w:val="nil"/>
            </w:tcBorders>
            <w:tcMar>
              <w:top w:w="0" w:type="dxa"/>
              <w:left w:w="0" w:type="dxa"/>
              <w:bottom w:w="0" w:type="dxa"/>
              <w:right w:w="0" w:type="dxa"/>
            </w:tcMar>
            <w:vAlign w:val="center"/>
          </w:tcPr>
          <w:p>
            <w:pPr>
              <w:widowControl w:val="false"/>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84.49</w:t>
            </w:r>
          </w:p>
        </w:tc>
        <w:tc>
          <w:tcPr>
            <w:tcW w:w="129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5</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年均利税</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万元</w:t>
            </w:r>
          </w:p>
        </w:tc>
        <w:tc>
          <w:tcPr>
            <w:tcW w:w="1335" w:type="dxa"/>
            <w:tcBorders>
              <w:tl2br w:val="nil"/>
              <w:tr2bl w:val="nil"/>
            </w:tcBorders>
            <w:tcMar>
              <w:top w:w="0" w:type="dxa"/>
              <w:left w:w="0" w:type="dxa"/>
              <w:bottom w:w="0" w:type="dxa"/>
              <w:right w:w="0" w:type="dxa"/>
            </w:tcMar>
            <w:vAlign w:val="center"/>
          </w:tcPr>
          <w:p>
            <w:pPr>
              <w:widowControl w:val="false"/>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223.69</w:t>
            </w:r>
          </w:p>
        </w:tc>
        <w:tc>
          <w:tcPr>
            <w:tcW w:w="129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5.1</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年均营业税金及附加</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万元</w:t>
            </w:r>
          </w:p>
        </w:tc>
        <w:tc>
          <w:tcPr>
            <w:tcW w:w="1335" w:type="dxa"/>
            <w:tcBorders>
              <w:tl2br w:val="nil"/>
              <w:tr2bl w:val="nil"/>
            </w:tcBorders>
            <w:tcMar>
              <w:top w:w="0" w:type="dxa"/>
              <w:left w:w="0" w:type="dxa"/>
              <w:bottom w:w="0" w:type="dxa"/>
              <w:right w:w="0" w:type="dxa"/>
            </w:tcMar>
            <w:vAlign w:val="center"/>
          </w:tcPr>
          <w:p>
            <w:pPr>
              <w:widowControl w:val="false"/>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6.92</w:t>
            </w:r>
          </w:p>
        </w:tc>
        <w:tc>
          <w:tcPr>
            <w:tcW w:w="129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5.2</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年均利润</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万元</w:t>
            </w:r>
          </w:p>
        </w:tc>
        <w:tc>
          <w:tcPr>
            <w:tcW w:w="1335" w:type="dxa"/>
            <w:tcBorders>
              <w:tl2br w:val="nil"/>
              <w:tr2bl w:val="nil"/>
            </w:tcBorders>
            <w:tcMar>
              <w:top w:w="0" w:type="dxa"/>
              <w:left w:w="0" w:type="dxa"/>
              <w:bottom w:w="0" w:type="dxa"/>
              <w:right w:w="0" w:type="dxa"/>
            </w:tcMar>
            <w:vAlign w:val="center"/>
          </w:tcPr>
          <w:p>
            <w:pPr>
              <w:widowControl w:val="false"/>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147.60</w:t>
            </w:r>
          </w:p>
        </w:tc>
        <w:tc>
          <w:tcPr>
            <w:tcW w:w="129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5.3</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年均增值税</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万元</w:t>
            </w:r>
          </w:p>
        </w:tc>
        <w:tc>
          <w:tcPr>
            <w:tcW w:w="1335" w:type="dxa"/>
            <w:tcBorders>
              <w:tl2br w:val="nil"/>
              <w:tr2bl w:val="nil"/>
            </w:tcBorders>
            <w:tcMar>
              <w:top w:w="0" w:type="dxa"/>
              <w:left w:w="0" w:type="dxa"/>
              <w:bottom w:w="0" w:type="dxa"/>
              <w:right w:w="0" w:type="dxa"/>
            </w:tcMar>
            <w:vAlign w:val="center"/>
          </w:tcPr>
          <w:p>
            <w:pPr>
              <w:widowControl w:val="false"/>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69.17</w:t>
            </w:r>
          </w:p>
        </w:tc>
        <w:tc>
          <w:tcPr>
            <w:tcW w:w="129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6</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财务内部收益率</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w:t>
            </w:r>
          </w:p>
        </w:tc>
        <w:tc>
          <w:tcPr>
            <w:tcW w:w="1335" w:type="dxa"/>
            <w:tcBorders>
              <w:tl2br w:val="nil"/>
              <w:tr2bl w:val="nil"/>
            </w:tcBorders>
            <w:tcMar>
              <w:top w:w="0" w:type="dxa"/>
              <w:left w:w="0" w:type="dxa"/>
              <w:bottom w:w="0" w:type="dxa"/>
              <w:right w:w="0" w:type="dxa"/>
            </w:tcMar>
            <w:vAlign w:val="center"/>
          </w:tcPr>
          <w:p>
            <w:pPr>
              <w:widowControl w:val="false"/>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7.84</w:t>
            </w:r>
          </w:p>
        </w:tc>
        <w:tc>
          <w:tcPr>
            <w:tcW w:w="129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税后</w:t>
            </w: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7</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财务净现值</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万元</w:t>
            </w:r>
          </w:p>
        </w:tc>
        <w:tc>
          <w:tcPr>
            <w:tcW w:w="1335" w:type="dxa"/>
            <w:tcBorders>
              <w:tl2br w:val="nil"/>
              <w:tr2bl w:val="nil"/>
            </w:tcBorders>
            <w:tcMar>
              <w:top w:w="0" w:type="dxa"/>
              <w:left w:w="0" w:type="dxa"/>
              <w:bottom w:w="0" w:type="dxa"/>
              <w:right w:w="0" w:type="dxa"/>
            </w:tcMar>
            <w:vAlign w:val="center"/>
          </w:tcPr>
          <w:p>
            <w:pPr>
              <w:widowControl w:val="false"/>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847.71</w:t>
            </w:r>
          </w:p>
        </w:tc>
        <w:tc>
          <w:tcPr>
            <w:tcW w:w="129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税后</w:t>
            </w: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8</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税后投资回收期</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年</w:t>
            </w:r>
          </w:p>
        </w:tc>
        <w:tc>
          <w:tcPr>
            <w:tcW w:w="1335" w:type="dxa"/>
            <w:tcBorders>
              <w:tl2br w:val="nil"/>
              <w:tr2bl w:val="nil"/>
            </w:tcBorders>
            <w:tcMar>
              <w:top w:w="0" w:type="dxa"/>
              <w:left w:w="0" w:type="dxa"/>
              <w:bottom w:w="0" w:type="dxa"/>
              <w:right w:w="0" w:type="dxa"/>
            </w:tcMar>
            <w:vAlign w:val="center"/>
          </w:tcPr>
          <w:p>
            <w:pPr>
              <w:widowControl w:val="false"/>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11.31</w:t>
            </w:r>
          </w:p>
        </w:tc>
        <w:tc>
          <w:tcPr>
            <w:tcW w:w="129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税后</w:t>
            </w: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9</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财务内部收益率</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w:t>
            </w:r>
          </w:p>
        </w:tc>
        <w:tc>
          <w:tcPr>
            <w:tcW w:w="1335" w:type="dxa"/>
            <w:tcBorders>
              <w:tl2br w:val="nil"/>
              <w:tr2bl w:val="nil"/>
            </w:tcBorders>
            <w:tcMar>
              <w:top w:w="0" w:type="dxa"/>
              <w:left w:w="0" w:type="dxa"/>
              <w:bottom w:w="0" w:type="dxa"/>
              <w:right w:w="0" w:type="dxa"/>
            </w:tcMar>
            <w:vAlign w:val="center"/>
          </w:tcPr>
          <w:p>
            <w:pPr>
              <w:widowControl w:val="false"/>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9.11</w:t>
            </w:r>
          </w:p>
        </w:tc>
        <w:tc>
          <w:tcPr>
            <w:tcW w:w="129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税前</w:t>
            </w: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10</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财务净现值</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万元</w:t>
            </w:r>
          </w:p>
        </w:tc>
        <w:tc>
          <w:tcPr>
            <w:tcW w:w="1335" w:type="dxa"/>
            <w:tcBorders>
              <w:tl2br w:val="nil"/>
              <w:tr2bl w:val="nil"/>
            </w:tcBorders>
            <w:tcMar>
              <w:top w:w="0" w:type="dxa"/>
              <w:left w:w="0" w:type="dxa"/>
              <w:bottom w:w="0" w:type="dxa"/>
              <w:right w:w="0" w:type="dxa"/>
            </w:tcMar>
            <w:vAlign w:val="center"/>
          </w:tcPr>
          <w:p>
            <w:pPr>
              <w:widowControl w:val="false"/>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1163.73</w:t>
            </w:r>
          </w:p>
        </w:tc>
        <w:tc>
          <w:tcPr>
            <w:tcW w:w="129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税前</w:t>
            </w: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11</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总投资收益率</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w:t>
            </w:r>
          </w:p>
        </w:tc>
        <w:tc>
          <w:tcPr>
            <w:tcW w:w="1335" w:type="dxa"/>
            <w:tcBorders>
              <w:tl2br w:val="nil"/>
              <w:tr2bl w:val="nil"/>
            </w:tcBorders>
            <w:tcMar>
              <w:top w:w="0" w:type="dxa"/>
              <w:left w:w="0" w:type="dxa"/>
              <w:bottom w:w="0" w:type="dxa"/>
              <w:right w:w="0" w:type="dxa"/>
            </w:tcMar>
            <w:vAlign w:val="center"/>
          </w:tcPr>
          <w:p>
            <w:pPr>
              <w:widowControl w:val="false"/>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5.69</w:t>
            </w:r>
          </w:p>
        </w:tc>
        <w:tc>
          <w:tcPr>
            <w:tcW w:w="129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12</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投资利税率</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w:t>
            </w:r>
          </w:p>
        </w:tc>
        <w:tc>
          <w:tcPr>
            <w:tcW w:w="1335" w:type="dxa"/>
            <w:tcBorders>
              <w:tl2br w:val="nil"/>
              <w:tr2bl w:val="nil"/>
            </w:tcBorders>
            <w:tcMar>
              <w:top w:w="0" w:type="dxa"/>
              <w:left w:w="0" w:type="dxa"/>
              <w:bottom w:w="0" w:type="dxa"/>
              <w:right w:w="0" w:type="dxa"/>
            </w:tcMar>
            <w:vAlign w:val="center"/>
          </w:tcPr>
          <w:p>
            <w:pPr>
              <w:widowControl w:val="false"/>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3.78</w:t>
            </w:r>
          </w:p>
        </w:tc>
        <w:tc>
          <w:tcPr>
            <w:tcW w:w="129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13</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项目资本金净利润率</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w:t>
            </w:r>
          </w:p>
        </w:tc>
        <w:tc>
          <w:tcPr>
            <w:tcW w:w="1335" w:type="dxa"/>
            <w:tcBorders>
              <w:tl2br w:val="nil"/>
              <w:tr2bl w:val="nil"/>
            </w:tcBorders>
            <w:tcMar>
              <w:top w:w="0" w:type="dxa"/>
              <w:left w:w="0" w:type="dxa"/>
              <w:bottom w:w="0" w:type="dxa"/>
              <w:right w:w="0" w:type="dxa"/>
            </w:tcMar>
            <w:vAlign w:val="center"/>
          </w:tcPr>
          <w:p>
            <w:pPr>
              <w:widowControl w:val="false"/>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12.50</w:t>
            </w:r>
          </w:p>
        </w:tc>
        <w:tc>
          <w:tcPr>
            <w:tcW w:w="129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14</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盈亏平衡点</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w:t>
            </w:r>
          </w:p>
        </w:tc>
        <w:tc>
          <w:tcPr>
            <w:tcW w:w="1335" w:type="dxa"/>
            <w:tcBorders>
              <w:tl2br w:val="nil"/>
              <w:tr2bl w:val="nil"/>
            </w:tcBorders>
            <w:tcMar>
              <w:top w:w="0" w:type="dxa"/>
              <w:left w:w="0" w:type="dxa"/>
              <w:bottom w:w="0" w:type="dxa"/>
              <w:right w:w="0" w:type="dxa"/>
            </w:tcMar>
            <w:vAlign w:val="center"/>
          </w:tcPr>
          <w:p>
            <w:pPr>
              <w:widowControl w:val="false"/>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52.59</w:t>
            </w:r>
          </w:p>
        </w:tc>
        <w:tc>
          <w:tcPr>
            <w:tcW w:w="129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p>
        </w:tc>
      </w:tr>
    </w:tbl>
    <w:bookmarkStart w:id="10" w:name="_Toc6245"/>
    <w:bookmarkStart w:id="11" w:name="_Toc31455"/>
    <w:bookmarkStart w:id="12" w:name="_Toc9154"/>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1.2 企业及实际控制人概况</w:t>
      </w:r>
      <w:bookmarkEnd w:id="10"/>
      <w:bookmarkEnd w:id="11"/>
      <w:bookmarkEnd w:id="12"/>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单位为获嘉县产业集聚区创业孵化园有限公司，成立于2020年8月13日，注册资本金为人民币500万元，法定代表人为高本祯，注册地址为河南省新乡市获嘉县城关镇产业集聚区梧桐路与东一路交叉口西南角1号。经营范围：一般项目：低温仓储（不含危险化学品等需许可审批的项目）；普通货物仓储服务（不含危险化学品等需许可审批的项目）；国内货物运输代理；食品销售（仅销售预包装食品）；农副产品销售；非居住房地产租赁；销售代理；贸易经纪；国内贸易代理；会议及展览服务；水产品批发；食用农产品初加工；食用农产品批发；供冷服务；农产品的生产、销售、加工、运输、贮藏及其他相关服务；园区管理服务；供应链管理服务；租赁服务（不含许可类租赁服务）；仓储设备租赁服务；办公设备租赁服务；住房租赁；土地使用权租赁；光伏发电设备租赁；柜台、摊位出租；充电控制设备租赁；计算机及通讯设备租赁；建筑工程机械与设备租赁（除依法须经批准的项目外，凭营业执照依法自主开展经营活动）。</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主体的唯一股东为获嘉县产业集聚区运营发展服务有限公司，成立于2020年8月7日，注册资金为人民币300万元，法定代表人高本祯，注册地：河南省获嘉县城关镇产业集聚区四楼405号。经营范围：一般项目：物业管理；房地产评估；房地产经纪；房地产咨询；住房租赁；非居住房地产租赁；建筑材料销售；铁路运输辅助活动；陆路国际货物运输代理；停车场服务；机械设备租赁；运输设备租赁服务；仓储设备租赁服务；单位后勤管理服务；企业管理；公共事业管理服务；园区管理服务；供应链管理服务；法律咨询（不包括律师事务所业务）；信息咨询服务（不含许可类信息咨询服务）；环保咨询服务；企业管理咨询；劳务服务（不含劳务派遣）；市政设施管理；城市绿化管理；建筑物清洁服务；专业保洁、清洗、消毒服务（除依法须经批准的项目外，凭营业执照依法自主开展经营活动）。</w:t>
      </w:r>
    </w:p>
    <w:bookmarkStart w:id="13" w:name="_Toc24935"/>
    <w:bookmarkStart w:id="14" w:name="_Toc29965"/>
    <w:bookmarkStart w:id="15" w:name="_Toc23991"/>
    <w:bookmarkStart w:id="16" w:name="_Toc4195"/>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1.3 编制依据</w:t>
      </w:r>
      <w:bookmarkEnd w:id="13"/>
      <w:bookmarkEnd w:id="14"/>
      <w:bookmarkEnd w:id="15"/>
      <w:bookmarkEnd w:id="16"/>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在可行性研究中作为依据的法规、文件、资料、要列出名称、来源、发布日期。并将其中必要的部分全文附后，作为可行性研究报告的附件，这些法规、文件、资料大致可分为四个部分：</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项目主管部门对项目的建设要求所下达的指令性文件；</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对项目承办单位或可行性研究单位的请示报告的批复文件。</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可行性研究开始前已经形成的工作成果及文件。</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根据项目需要进行调查和收集的设计基础资料。</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《中华人民共和国国民经济和社会发展“十四五”规划纲要》;</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《新乡市“十四五”发展规划》;</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《国家战略性新兴产业“十四五”发展规划》;</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《国家产业结构调整指导目录(2011年本)》;</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《建设项目经济评价方法与参数及使用手册》(第三版);</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《工业可行性研究编制手册》;</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《现代财务会计》;</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《工业投资项目评价与决策》;</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项目公司提供的发展规划、有关资料及相关数据;</w:t>
      </w:r>
    </w:p>
    <w:p>
      <w:pPr>
        <w:keepNext w:val="false"/>
        <w:keepLines w:val="false"/>
        <w:pageBreakBefore w:val="false"/>
        <w:widowControl w:val="false"/>
        <w:pBdr>
          <w:bottom w:val="none" w:color="auto" w:sz="0" w:space="0"/>
        </w:pBdr>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国家公布的相关设备及施工标准。</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《公共建筑节能设计标准》（GB50189-2005）；</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新乡市区各项规划资料；新乡市现场调研资料；相关的地质、水文、燃料、供电、供水等资料；新乡市水、电、天然气等基本耗材价格资料；</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国家及地方相关的法律、法规、条例、标准规范等文件。</w:t>
      </w:r>
    </w:p>
    <w:bookmarkStart w:id="17" w:name="_Toc1907"/>
    <w:bookmarkStart w:id="18" w:name="_Toc21802"/>
    <w:bookmarkStart w:id="19" w:name="_Toc5498"/>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1.4 研究范围</w:t>
      </w:r>
      <w:bookmarkEnd w:id="17"/>
      <w:bookmarkEnd w:id="18"/>
      <w:bookmarkEnd w:id="19"/>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按照国家对可行性研究报告工作范围和深度的规定，本报告对项目项目建设背景、需求分析及产出方案、项目选址与建设条件、建设规模及内容、项目建设方案、公用工程、绿色建筑、节能、劳动安全卫生及消防、组织机构与劳动定员、项目组织及实施、项目招投标、投资估算与资金筹措、财务评价、效益分析、结论与建议等方面进行综合研究和分析，重点研究和论述项目建设的必要性、项目建设方案、投资估算、财务评价、效益分析等内容，为建设单位的决策和实施提供可靠和准确的论证。</w:t>
      </w:r>
    </w:p>
    <w:bookmarkStart w:id="20" w:name="_Toc6849"/>
    <w:bookmarkStart w:id="21" w:name="_Toc5471"/>
    <w:bookmarkStart w:id="22" w:name="_Toc13922"/>
    <w:bookmarkStart w:id="23" w:name="_Toc15683"/>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1.5 结论及建议</w:t>
      </w:r>
      <w:bookmarkEnd w:id="20"/>
      <w:bookmarkEnd w:id="21"/>
      <w:bookmarkEnd w:id="22"/>
      <w:bookmarkEnd w:id="23"/>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1.5.1 结论</w:t>
      </w:r>
    </w:p>
    <w:p>
      <w:pPr>
        <w:snapToGrid/>
        <w:spacing w:before="157" w:after="157" w:line="360" w:lineRule="auto"/>
        <w:ind w:left="0" w:right="0" w:firstLine="560" w:firstLineChars="200"/>
        <w:jc w:val="both"/>
        <w:rPr/>
      </w:pPr>
      <w:r>
        <w:rPr>
          <w:rFonts w:ascii="宋体" w:hAnsi="宋体" w:eastAsia="宋体" w:cs="宋体"/>
          <w:i w:val="false"/>
          <w:strike w:val="false"/>
          <w:color w:val="000000"/>
          <w:sz w:val="28"/>
          <w:u w:val="none"/>
        </w:rPr>
        <w:t>本项目的建设，可以充分合理的利用园区内工业厂房屋顶面积及闲置空地铺设分布式光伏发电设备进行开发利用光能资源，满足能源可持续发展的需要；同时能够为项目周边用电需求量较大且稳定的企业提供安全、稳定、便宜的新能源电力，既促进地区国民经济的可持续发展；还可以加快能源电力结构调整；本工程的兴建不仅能减少对电网电力的消耗，减轻当地电网的压力，使用绿色能源，起到节约传统能源的作用，有助于提升企业形象。</w:t>
      </w:r>
    </w:p>
    <w:p>
      <w:pPr>
        <w:pBdr>
          <w:bottom w:val="none" w:color="auto" w:sz="0" w:space="0"/>
        </w:pBdr>
        <w:snapToGrid/>
        <w:spacing w:before="0" w:after="0" w:line="360" w:lineRule="auto"/>
        <w:ind w:left="0" w:right="0" w:firstLine="560" w:firstLineChars="200"/>
        <w:jc w:val="both"/>
        <w:rPr>
          <w:rFonts w:hint="eastAsia" w:ascii="宋体" w:hAnsi="宋体" w:eastAsia="宋体" w:cs="宋体"/>
          <w:snapToGrid/>
          <w:color w:val="auto"/>
          <w:spacing w:val="0"/>
          <w:w w:val="100"/>
          <w:kern w:val="2"/>
          <w:position w:val="0"/>
          <w:sz w:val="28"/>
          <w:szCs w:val="28"/>
          <w:lang w:val="en-US" w:eastAsia="zh-CN" w:bidi="zh-CN"/>
        </w:rPr>
      </w:pPr>
      <w:r>
        <w:rPr>
          <w:rFonts w:ascii="宋体" w:hAnsi="宋体" w:eastAsia="宋体" w:cs="宋体"/>
          <w:i w:val="false"/>
          <w:strike w:val="false"/>
          <w:color w:val="000000"/>
          <w:sz w:val="28"/>
          <w:u w:val="none"/>
        </w:rPr>
        <w:t>经过以上分析，可知本项目在接入、技术、经济、节能减排指标方面是可行的，项目具备建设条件</w:t>
      </w:r>
      <w:r>
        <w:rPr>
          <w:rFonts w:hint="eastAsia" w:ascii="宋体" w:hAnsi="宋体" w:eastAsia="宋体" w:cs="宋体"/>
          <w:snapToGrid/>
          <w:color w:val="auto"/>
          <w:spacing w:val="0"/>
          <w:w w:val="100"/>
          <w:kern w:val="2"/>
          <w:position w:val="0"/>
          <w:sz w:val="28"/>
          <w:szCs w:val="28"/>
          <w:lang w:val="en-US" w:eastAsia="zh-CN" w:bidi="zh-CN"/>
        </w:rPr>
        <w:t>。</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1.5.2 建议</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为保证本项目能够顺利、稳妥的建设和发展，应注意以下几个方面：</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1、应积极筹措建设资金，保证项目顺利建设，强化项目进程中的投资、质量、进度计划，注重对可能发生的不利条件及变化因素的预测与防范对策，以保证项目按期完成。</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2、建议政府出台相关政策，对源网荷储一体化项目给予财政补贴、税收优惠等支持措施；</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3、加强对当地企业的宣传教育，提高企业对新能源电力的认知度和接受度，促进社会各界的参与和支持；</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br w:type="page"/>
      </w:r>
    </w:p>
    <w:p>
      <w:pPr>
        <w:pStyle w:val="000006"/>
        <w:bidi w:val="false"/>
        <w:adjustRightInd/>
        <w:spacing w:before="10" w:after="10" w:line="360" w:lineRule="auto"/>
        <w:jc w:val="center"/>
        <w:rPr>
          <w:rFonts w:hint="eastAsia" w:ascii="宋体" w:hAnsi="宋体" w:eastAsia="宋体" w:cs="宋体"/>
          <w:bCs/>
          <w:szCs w:val="36"/>
        </w:rPr>
      </w:pPr>
      <w:r>
        <w:rPr>
          <w:rFonts w:hint="eastAsia" w:ascii="宋体" w:hAnsi="宋体" w:eastAsia="宋体" w:cs="宋体"/>
          <w:bCs/>
          <w:szCs w:val="36"/>
        </w:rPr>
        <w:t>第二章 项目建设背景及必要性</w:t>
      </w:r>
    </w:p>
    <w:bookmarkStart w:id="24" w:name="_Toc3210"/>
    <w:bookmarkStart w:id="25" w:name="_Toc29717"/>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rPr>
      </w:pPr>
      <w:r>
        <w:rPr>
          <w:rFonts w:hint="eastAsia" w:ascii="宋体" w:hAnsi="宋体" w:eastAsia="宋体" w:cs="宋体"/>
          <w:b/>
          <w:bCs/>
          <w:sz w:val="28"/>
          <w:szCs w:val="28"/>
        </w:rPr>
        <w:t>2.1 规划政策符合性</w:t>
      </w:r>
      <w:bookmarkEnd w:id="24"/>
      <w:bookmarkEnd w:id="25"/>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2.1.1 项目建设背景和前期工作进展情况</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2.1.1.1 项目建设背景</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随着气候变化问题的日益严峻，全球对约束碳排放已经基本达成一致。根据气候、中国经济的现状等条件，中央政府提出以“双碳”战略，2030年前实现碳达峰，2060年前实现碳中和。在这一战略框架下，光伏发电和储能技术成为重要的支撑和突破口。通过大力发展光伏发电及储能技术，利用太阳能资源进行清洁能源生产，配合储能调峰稳定电力运行，可以促进碳减排和能源转型。</w:t>
      </w:r>
    </w:p>
    <w:p>
      <w:pPr>
        <w:keepNext w:val="false"/>
        <w:keepLines w:val="false"/>
        <w:pageBreakBefore w:val="false"/>
        <w:widowControl w:val="false"/>
        <w:kinsoku/>
        <w:wordWrap/>
        <w:overflowPunct/>
        <w:topLinePunct w:val="false"/>
        <w:autoSpaceDE/>
        <w:autoSpaceDN/>
        <w:bidi w:val="false"/>
        <w:adjustRightInd/>
        <w:snapToGrid/>
        <w:spacing w:before="157" w:beforeLines="50" w:after="157" w:afterLines="50" w:line="360" w:lineRule="auto"/>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1、新乡市</w:t>
      </w:r>
      <w:r>
        <w:rPr>
          <w:rFonts w:hint="eastAsia" w:ascii="宋体" w:hAnsi="宋体" w:eastAsia="宋体" w:cs="宋体"/>
          <w:color w:val="auto"/>
          <w:sz w:val="28"/>
          <w:szCs w:val="28"/>
          <w:lang w:val="en-US" w:eastAsia="zh-CN"/>
        </w:rPr>
        <w:t>获嘉县</w:t>
      </w:r>
      <w:r>
        <w:rPr>
          <w:rFonts w:hint="eastAsia" w:ascii="宋体" w:hAnsi="宋体" w:eastAsia="宋体" w:cs="宋体"/>
          <w:color w:val="auto"/>
          <w:sz w:val="28"/>
          <w:szCs w:val="28"/>
        </w:rPr>
        <w:t>整体情况</w:t>
      </w:r>
    </w:p>
    <w:p>
      <w:pPr>
        <w:keepNext w:val="false"/>
        <w:keepLines w:val="false"/>
        <w:pageBreakBefore w:val="false"/>
        <w:widowControl w:val="false"/>
        <w:kinsoku/>
        <w:wordWrap/>
        <w:overflowPunct/>
        <w:topLinePunct w:val="false"/>
        <w:autoSpaceDE/>
        <w:autoSpaceDN/>
        <w:bidi w:val="false"/>
        <w:adjustRightInd/>
        <w:snapToGrid/>
        <w:spacing w:before="157" w:beforeLines="50" w:after="157" w:afterLines="50" w:line="360" w:lineRule="auto"/>
        <w:ind w:firstLine="560" w:firstLineChars="200"/>
        <w:jc w:val="both"/>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获嘉县地处河南省北部，新乡市西部，介于东经 113°39′42″～113°44′20″，北纬 35°9′34″～35°15′37″之间。县域面积 473 平方公里，距新乡市约 20 公里，距省会郑州约 80 公里。下辖 8 镇 3 乡，即城关镇、照镜镇、黄堤镇、中和镇、徐营镇、冯庄镇、亢村镇、史庄镇、太山镇、大新庄乡、位庄乡，共有 219 个行政村，耕地面积 44.8 万亩。</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2023年获嘉县的国民生产总值（GDP）为2002022万元，比上年增长2.3%‌‌。其中，第一产业增加值377953万元，增长0.4%；第二产业增加值749021万元，增长3.1%；第三产业增加值875048万元，增长2.3%。三次产业结构为18.9:37.4:43.7‌13。</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color w:val="auto"/>
          <w:sz w:val="28"/>
          <w:szCs w:val="28"/>
        </w:rPr>
        <w:t>获嘉县的经济运行情况总体稳定，农业生产形势稳定，农产品供给充足。全县农林牧渔业总产值67.3亿元，同比增长2.2%。粮食安全得到保障，尽管受连续降雨影响夏粮有所减产，但粮食总产量仍稳定在37.91万吨。工业生产加快，主导产业支撑作用明显，规模以上工业增加值同比增长7%，其中制造业增加值增长11.8%‌。</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default"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2、获嘉县工业生产加快，工业园区较多</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获嘉县近年来工业生产呈现出蓬勃加快的发展态势，境内工业园逐渐增多，为经济增长注入了强劲动力。其拥有如获嘉县先进制造业开发区这样的重要产业园区，按照 “一区多园” 的布局，涵盖了现代化工、装备制造、生物医药等多个领域，入驻企业多达 600 余家，其中规模以上工业企业就有 90 家。在现代化工产业园区，依托产业基础与资源优势，吸引了众多化工企业扎根，形成了完整的产业链条，从基础化工原料生产到精细化工产品加工，一应俱全；装备制造产业园内，各类机械加工、装配企业聚集，专注于生产农业机械、工业设备配件以及智能装备等产品，产品远销国内外；生物医药产业也崭露头角，一批专注于制药、医疗器械研发生产的企业蓬勃发展，不断提升着获嘉县在该领域的影响力。此外，像获嘉县精细化工专业园区，聚焦精细化工领域，以巨晶化工等企业为核心，全力打造高端精细化工产业集群，进一步丰富了获嘉县的工业产业结构，众多企业在这片土地上汇聚，通过不断创新与技术升级，推动着获嘉县工业向着更高质量、更具竞争力的方向大步迈进，成为区域经济发展的重要支撑力量，也为当地创造了大量的就业机会和经济效益。</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default"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w:t>
      </w:r>
      <w:r>
        <w:rPr>
          <w:rFonts w:hint="eastAsia" w:ascii="宋体" w:hAnsi="宋体" w:eastAsia="宋体" w:cs="宋体"/>
          <w:color w:val="auto"/>
          <w:sz w:val="28"/>
          <w:szCs w:val="28"/>
        </w:rPr>
        <w:t>园区工业企业用电需要量较大</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default"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获嘉县工业集聚区发展态势良好，园区内企业众多且用电需求量较大。其中，中新化工凭借其大规模的化工生产设施与复杂的工艺流程，在原材料的提炼、合成以及产品精制等各个环节都离不开大量电力的支撑，大型反应釜、蒸馏塔等设备持续运行，耗电量惊人，是园区电力消耗的重要力量。中小企业孵化园虽企业规模不一，但整体用电量不容小觑，园内机械制造、电子元件加工等企业的各类机床、自动化生产线以及检测设备等同时运转，众多企业的用电需求汇聚起来，形成了可观的用电规模。河南晶瑞日用品在生产过程中，为保证产品的高质量，其消毒、灌装、包装等环节的自动化设备对电力的稳定性和持续性要求极高，特别是在生产高峰期，用电需求急剧上升。大成包装的生产也高度依赖电力，从纸板的切割、印刷到纸箱的成型、装订，一系列大型设备的运转使得用电量居高不下，产生大量的用电需求。</w:t>
      </w:r>
    </w:p>
    <w:p>
      <w:pPr>
        <w:keepNext w:val="false"/>
        <w:keepLines w:val="false"/>
        <w:pageBreakBefore w:val="false"/>
        <w:widowControl w:val="false"/>
        <w:kinsoku/>
        <w:wordWrap/>
        <w:overflowPunct/>
        <w:topLinePunct w:val="false"/>
        <w:autoSpaceDE/>
        <w:autoSpaceDN/>
        <w:bidi w:val="false"/>
        <w:adjustRightInd/>
        <w:snapToGrid/>
        <w:spacing w:before="157" w:beforeLines="50" w:after="157" w:afterLines="50"/>
        <w:ind w:firstLine="550"/>
        <w:textAlignment w:val="auto"/>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4</w:t>
      </w:r>
      <w:r>
        <w:rPr>
          <w:rFonts w:hint="eastAsia" w:ascii="宋体" w:hAnsi="宋体" w:eastAsia="宋体" w:cs="宋体"/>
          <w:color w:val="auto"/>
          <w:sz w:val="28"/>
          <w:szCs w:val="28"/>
        </w:rPr>
        <w:t>、</w:t>
      </w:r>
      <w:r>
        <w:rPr>
          <w:rFonts w:hint="eastAsia" w:ascii="宋体" w:hAnsi="宋体" w:eastAsia="宋体" w:cs="宋体"/>
          <w:color w:val="auto"/>
          <w:sz w:val="28"/>
          <w:szCs w:val="28"/>
          <w:lang w:val="en-US" w:eastAsia="zh-CN"/>
        </w:rPr>
        <w:t>源网荷储模式能够有效解决</w:t>
      </w:r>
      <w:r>
        <w:rPr>
          <w:rFonts w:hint="eastAsia" w:ascii="宋体" w:hAnsi="宋体" w:eastAsia="宋体" w:cs="宋体"/>
          <w:color w:val="auto"/>
          <w:sz w:val="28"/>
          <w:szCs w:val="28"/>
        </w:rPr>
        <w:t>企业降本</w:t>
      </w:r>
      <w:r>
        <w:rPr>
          <w:rFonts w:hint="eastAsia" w:ascii="宋体" w:hAnsi="宋体" w:eastAsia="宋体" w:cs="宋体"/>
          <w:color w:val="auto"/>
          <w:sz w:val="28"/>
          <w:szCs w:val="28"/>
          <w:lang w:val="en-US" w:eastAsia="zh-CN"/>
        </w:rPr>
        <w:t>增效的</w:t>
      </w:r>
      <w:r>
        <w:rPr>
          <w:rFonts w:hint="eastAsia" w:ascii="宋体" w:hAnsi="宋体" w:eastAsia="宋体" w:cs="宋体"/>
          <w:color w:val="auto"/>
          <w:sz w:val="28"/>
          <w:szCs w:val="28"/>
        </w:rPr>
        <w:t>问题</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大环境</w:t>
      </w:r>
      <w:r>
        <w:rPr>
          <w:rFonts w:hint="eastAsia" w:ascii="宋体" w:hAnsi="宋体" w:eastAsia="宋体" w:cs="宋体"/>
          <w:color w:val="auto"/>
          <w:sz w:val="28"/>
          <w:szCs w:val="28"/>
        </w:rPr>
        <w:t>经济下行已经给企业造成比较大的经营困难。</w:t>
      </w:r>
      <w:r>
        <w:rPr>
          <w:rFonts w:hint="eastAsia" w:ascii="宋体" w:hAnsi="宋体" w:eastAsia="宋体" w:cs="宋体"/>
          <w:color w:val="auto"/>
          <w:sz w:val="28"/>
          <w:szCs w:val="28"/>
          <w:lang w:val="en-US" w:eastAsia="zh-CN"/>
        </w:rPr>
        <w:t>获嘉县</w:t>
      </w:r>
      <w:r>
        <w:rPr>
          <w:rFonts w:hint="eastAsia" w:ascii="宋体" w:hAnsi="宋体" w:eastAsia="宋体" w:cs="宋体"/>
          <w:color w:val="auto"/>
          <w:sz w:val="28"/>
          <w:szCs w:val="28"/>
        </w:rPr>
        <w:t>的企业经营也遇到困难和问题，获取定单和降低成本是经营中最急迫的工作。在这个市场出清时期，如果企业转型过慢，有可以面临被淘汰出局的风险。拟建项目作为新乡市</w:t>
      </w:r>
      <w:r>
        <w:rPr>
          <w:rFonts w:hint="eastAsia" w:ascii="宋体" w:hAnsi="宋体" w:eastAsia="宋体" w:cs="宋体"/>
          <w:color w:val="auto"/>
          <w:sz w:val="28"/>
          <w:szCs w:val="28"/>
          <w:lang w:val="en-US" w:eastAsia="zh-CN"/>
        </w:rPr>
        <w:t>获嘉县源网荷储</w:t>
      </w:r>
      <w:r>
        <w:rPr>
          <w:rFonts w:hint="eastAsia" w:ascii="宋体" w:hAnsi="宋体" w:eastAsia="宋体" w:cs="宋体"/>
          <w:color w:val="auto"/>
          <w:sz w:val="28"/>
          <w:szCs w:val="28"/>
        </w:rPr>
        <w:t>绿色新能源项目，极大程度上解决企业用电贵、成本高的问题</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lang w:val="en-US" w:eastAsia="zh-CN"/>
        </w:rPr>
        <w:t>同时解决了隔墙售电的问题。</w:t>
      </w:r>
      <w:r>
        <w:rPr>
          <w:rFonts w:hint="eastAsia" w:ascii="宋体" w:hAnsi="宋体" w:eastAsia="宋体" w:cs="宋体"/>
          <w:color w:val="auto"/>
          <w:sz w:val="28"/>
          <w:szCs w:val="28"/>
        </w:rPr>
        <w:t>从根源上降低企业生产成本，给企业转型争取时间和机会，为转型升级提供更有力的支持。</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2" w:firstLineChars="200"/>
        <w:jc w:val="both"/>
        <w:textAlignment w:val="auto"/>
        <w:outlineLvl w:val="9"/>
        <w:rPr>
          <w:rFonts w:hint="eastAsia" w:ascii="宋体" w:hAnsi="宋体" w:eastAsia="宋体" w:cs="宋体"/>
          <w:b/>
          <w:snapToGrid/>
          <w:color w:val="auto"/>
          <w:spacing w:val="0"/>
          <w:w w:val="100"/>
          <w:kern w:val="2"/>
          <w:position w:val="0"/>
          <w:sz w:val="28"/>
          <w:szCs w:val="28"/>
          <w:lang w:val="en-US" w:eastAsia="zh-CN" w:bidi="zh-CN"/>
        </w:rPr>
      </w:pPr>
      <w:r>
        <w:rPr>
          <w:rFonts w:hint="eastAsia" w:ascii="宋体" w:hAnsi="宋体" w:eastAsia="宋体" w:cs="宋体"/>
          <w:b/>
          <w:snapToGrid/>
          <w:color w:val="auto"/>
          <w:spacing w:val="0"/>
          <w:w w:val="100"/>
          <w:kern w:val="2"/>
          <w:position w:val="0"/>
          <w:sz w:val="28"/>
          <w:szCs w:val="28"/>
          <w:lang w:val="en-US" w:eastAsia="zh-CN" w:bidi="zh-CN"/>
        </w:rPr>
        <w:t>5、源网荷储一体化已成为河南省新能源项目发展趋势</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在能源转型的大背景下，源网荷储一体化已成为河南省新能源项目发展的显著趋势。《河南省加快推进源网荷储一体化实施方案》的出台，明确了其在河南能源战略中的关键地位。</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2"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b/>
          <w:snapToGrid/>
          <w:color w:val="auto"/>
          <w:spacing w:val="0"/>
          <w:w w:val="100"/>
          <w:kern w:val="2"/>
          <w:position w:val="0"/>
          <w:sz w:val="28"/>
          <w:szCs w:val="28"/>
          <w:lang w:val="en-US" w:eastAsia="zh-CN" w:bidi="zh-CN"/>
        </w:rPr>
        <w:t>政府充分发挥主导作用</w:t>
      </w:r>
      <w:r>
        <w:rPr>
          <w:rFonts w:hint="eastAsia" w:ascii="宋体" w:hAnsi="宋体" w:eastAsia="宋体" w:cs="宋体"/>
          <w:snapToGrid/>
          <w:color w:val="auto"/>
          <w:spacing w:val="0"/>
          <w:w w:val="100"/>
          <w:kern w:val="2"/>
          <w:position w:val="0"/>
          <w:sz w:val="28"/>
          <w:szCs w:val="28"/>
          <w:lang w:val="en-US" w:eastAsia="zh-CN" w:bidi="zh-CN"/>
        </w:rPr>
        <w:t>，积极引导资源配置，营造良好政策环境，从规划到审批，大力支持项目推进。其中，新能源项目库的高效运作机制尤为突出</w:t>
      </w:r>
      <w:r>
        <w:rPr>
          <w:rFonts w:hint="eastAsia" w:ascii="宋体" w:hAnsi="宋体" w:eastAsia="宋体" w:cs="宋体"/>
          <w:b/>
          <w:snapToGrid/>
          <w:color w:val="auto"/>
          <w:spacing w:val="0"/>
          <w:w w:val="100"/>
          <w:kern w:val="2"/>
          <w:position w:val="0"/>
          <w:sz w:val="28"/>
          <w:szCs w:val="28"/>
          <w:lang w:val="en-US" w:eastAsia="zh-CN" w:bidi="zh-CN"/>
        </w:rPr>
        <w:t>。每月开放申报通道，实行即时报、即时批、即时审，</w:t>
      </w:r>
      <w:r>
        <w:rPr>
          <w:rFonts w:hint="eastAsia" w:ascii="宋体" w:hAnsi="宋体" w:eastAsia="宋体" w:cs="宋体"/>
          <w:snapToGrid/>
          <w:color w:val="auto"/>
          <w:spacing w:val="0"/>
          <w:w w:val="100"/>
          <w:kern w:val="2"/>
          <w:position w:val="0"/>
          <w:sz w:val="28"/>
          <w:szCs w:val="28"/>
          <w:lang w:val="en-US" w:eastAsia="zh-CN" w:bidi="zh-CN"/>
        </w:rPr>
        <w:t>企业提交的源网荷储一体化项目申请能迅速进入审核流程，短时间内获得审批结果。这一机制极大激发了市场活力，众多企业凭借技术、资金优势积极参与项目申报，抢占新兴领域先机。申报项目落地后，推动能源结构优化升级，大幅提升清洁能源在能源消费中的占比。通过整合能源生产、传输、存储和消费环节，源网荷储一体化项目提高了能源利用效率，降低损耗，增强能源供应的稳定性与可靠性，为河南可持续发展注入强劲动力，助力其在绿色能源道路上稳步前行 。</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2.1.2 经济社会发展规划、产业政策</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2.1.2.1 《国家发展改革委 国家能源局关于推进电力源网荷储一体化和多能互补发展的指导意见》</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意见中提出要创新电力生产和消费模式，推进源网荷储一体化发展。鼓励各类市场主体积极参与，探索多种实施路径和商业模式。通过优化电源结构、提升电网灵活性、引导用户侧互动以及加强储能设施建设等措施，实现电力系统的源网荷储各环节深度融合与协调运行，提高电力系统的综合效率和可靠性，促进清洁能源的大规模开发利用和能源的可持续发展。</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2.1.2.2 《国家发展改革委、国家能源局关于加强电网调峰储能和智能化调度能力建设的指导意见》</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ind w:firstLine="560" w:firstLineChars="200"/>
        <w:textAlignment w:val="baseline"/>
        <w:rPr>
          <w:rFonts w:hint="default" w:ascii="宋体" w:hAnsi="宋体" w:eastAsia="宋体" w:cs="宋体"/>
          <w:b w:val="false"/>
          <w:bCs w:val="false"/>
          <w:sz w:val="28"/>
          <w:szCs w:val="28"/>
          <w:lang w:val="en-US" w:eastAsia="zh-CN"/>
        </w:rPr>
      </w:pPr>
      <w:r>
        <w:rPr>
          <w:rFonts w:hint="default" w:ascii="宋体" w:hAnsi="宋体" w:eastAsia="宋体" w:cs="宋体"/>
          <w:b w:val="false"/>
          <w:bCs w:val="false"/>
          <w:sz w:val="28"/>
          <w:szCs w:val="28"/>
          <w:lang w:val="en-US" w:eastAsia="zh-CN"/>
        </w:rPr>
        <w:t>以习近平新时代中国特色社会主义思想为指导，统筹优化调峰资源，推动源网荷储各类调节资源作用发挥。要求加强调峰能力建设，推进储能能力建设，推动智能化调度能力建设等。同时，积极推动各类调节资源参与电力市场，建立健全价格机制，健全完善管理体系，以提升电力系统调节能力，保障能源电力安全稳定供应和可再生能源高质量消纳等。</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2.1.2.</w:t>
      </w:r>
      <w:r>
        <w:rPr>
          <w:rFonts w:hint="eastAsia" w:ascii="宋体" w:hAnsi="宋体" w:eastAsia="宋体" w:cs="宋体"/>
          <w:b/>
          <w:bCs/>
          <w:sz w:val="28"/>
          <w:szCs w:val="28"/>
          <w:lang w:val="en-US" w:eastAsia="zh-CN"/>
        </w:rPr>
        <w:t>3</w:t>
      </w:r>
      <w:r>
        <w:rPr>
          <w:rFonts w:hint="eastAsia" w:ascii="宋体" w:hAnsi="宋体" w:eastAsia="宋体" w:cs="宋体"/>
          <w:b/>
          <w:bCs/>
          <w:sz w:val="28"/>
          <w:szCs w:val="28"/>
        </w:rPr>
        <w:t>《关于推进源网荷储一体化和多能互补项目实施的通知》</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通知中明确了源网荷储一体化和多能互补项目的实施要求和流程。要求各地要结合实际情况，制定具体的项目实施方案，加强项目储备和管理。在项目实施过程中，要注重项目的技术经济性和安全性，鼓励采用先进的技术和设备。同时，要建立健全项目的评估和监管机制，确保项目的顺利实施和预期效果的实现，推动源网荷储一体化和多能互补项目的规模化发展。</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2.1.2.4 《能源局综合司关于报送源网荷储一体化和多能互补项目有关情况的通知》</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通知中要求各地能源主管部门报送源网荷储一体化和多能互补项目的有关情况，包括项目的基本信息、进展情况、存在的问题等。旨在全面了解各地项目的实施现状，及时发现和解决项目推进过程中存在的问题，加强对项目的跟踪和指导，为进一步完善相关政策和措施提供依据，促进源网荷储一体化和多能互补项目的健康发展。</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2.1.2.</w:t>
      </w:r>
      <w:r>
        <w:rPr>
          <w:rFonts w:hint="eastAsia" w:ascii="宋体" w:hAnsi="宋体" w:eastAsia="宋体" w:cs="宋体"/>
          <w:b/>
          <w:bCs/>
          <w:sz w:val="28"/>
          <w:szCs w:val="28"/>
          <w:lang w:val="en-US" w:eastAsia="zh-CN"/>
        </w:rPr>
        <w:t>5</w:t>
      </w:r>
      <w:r>
        <w:rPr>
          <w:rFonts w:hint="eastAsia" w:ascii="宋体" w:hAnsi="宋体" w:eastAsia="宋体" w:cs="宋体"/>
          <w:b/>
          <w:bCs/>
          <w:sz w:val="28"/>
          <w:szCs w:val="28"/>
        </w:rPr>
        <w:t xml:space="preserve"> 《河南省加快推进源网荷储一体化实施方案》</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该方案拓展了源网荷储一体化项目的实施范围，涵盖工商业企业、产业园区等多种场景。重点任务包括加快科技创新应用，加强清洁能源供应，推动配网改造升级，优化电力负荷管理以及提速发展新型储能等。同时提出强化政策支持、保障并网消纳、营造良好环境等保障措施，以构建灵活智能、稳定高效的智能微电网，实现新能源的高效消纳和源网荷储各环节的协同互动。</w:t>
      </w:r>
      <w:r>
        <w:rPr>
          <w:rFonts w:hint="eastAsia" w:ascii="宋体" w:hAnsi="宋体" w:eastAsia="宋体" w:cs="宋体"/>
          <w:b/>
          <w:snapToGrid/>
          <w:color w:val="auto"/>
          <w:spacing w:val="0"/>
          <w:w w:val="100"/>
          <w:kern w:val="2"/>
          <w:position w:val="0"/>
          <w:sz w:val="28"/>
          <w:szCs w:val="28"/>
          <w:lang w:val="en-US" w:eastAsia="zh-CN" w:bidi="zh-CN"/>
        </w:rPr>
        <w:t>新乡市作为河南省中心城市，在2027年前需建成70个源网荷储项目目标任务。</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drawing>
          <wp:inline distT="0" distB="0" distL="0" distR="0">
            <wp:extent cx="5274310" cy="4072255"/>
            <wp:effectExtent l="0" t="0" r="0" b="0"/>
            <wp:docPr id="5" name="picture" descr="descript"/>
            <wp:cNvGraphicFramePr/>
            <a:graphic>
              <a:graphicData uri="http://schemas.openxmlformats.org/drawingml/2006/picture">
                <pic:pic>
                  <pic:nvPicPr>
                    <pic:cNvPr id="6" name="picture" descr="descript"/>
                    <pic:cNvPicPr/>
                  </pic:nvPicPr>
                  <pic:blipFill>
                    <a:blip r:embed="rId8"/>
                    <a:stretch>
                      <a:fillRect/>
                    </a:stretch>
                  </pic:blipFill>
                  <pic:spPr>
                    <a:xfrm>
                      <a:off x="0" y="0"/>
                      <a:ext cx="5274310" cy="4072360"/>
                    </a:xfrm>
                    <a:prstGeom prst="rect">
                      <a:avLst/>
                    </a:prstGeom>
                  </pic:spPr>
                </pic:pic>
              </a:graphicData>
            </a:graphic>
          </wp:inline>
        </w:drawing>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2.1.2.</w:t>
      </w:r>
      <w:r>
        <w:rPr>
          <w:rFonts w:hint="eastAsia" w:ascii="宋体" w:hAnsi="宋体" w:eastAsia="宋体" w:cs="宋体"/>
          <w:b/>
          <w:bCs/>
          <w:sz w:val="28"/>
          <w:szCs w:val="28"/>
          <w:lang w:val="en-US" w:eastAsia="zh-CN"/>
        </w:rPr>
        <w:t>6</w:t>
      </w:r>
      <w:r>
        <w:rPr>
          <w:rFonts w:hint="eastAsia" w:ascii="宋体" w:hAnsi="宋体" w:eastAsia="宋体" w:cs="宋体"/>
          <w:b/>
          <w:bCs/>
          <w:sz w:val="28"/>
          <w:szCs w:val="28"/>
        </w:rPr>
        <w:t xml:space="preserve"> 《河南省工业企业源网荷储一体化项目实施细则（暂行）》</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明确了项目建设模式、电源和储能设施规模、消纳运行和安全、并网时间和接入要求等。规定用电量较大的工业企业可结合自身用电特性，利用 20 公里范围内新能源资源建设分布式光伏或分散式风电，适当配置储能设施，提升绿电使用比例和系统运行效率，实现源网荷储一体化运行。</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2.1.3 行业和市场准入标准的符合性</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2.1.3.1 行业准入标准的符合性</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color w:val="auto"/>
          <w:sz w:val="28"/>
          <w:szCs w:val="28"/>
        </w:rPr>
        <w:t>该项目属于</w:t>
      </w:r>
      <w:r>
        <w:rPr>
          <w:rFonts w:hint="eastAsia" w:ascii="宋体" w:hAnsi="宋体" w:eastAsia="宋体" w:cs="宋体"/>
          <w:color w:val="auto"/>
          <w:sz w:val="28"/>
          <w:szCs w:val="28"/>
          <w:lang w:val="en-US" w:eastAsia="zh-CN"/>
        </w:rPr>
        <w:t>源网荷储一体化</w:t>
      </w:r>
      <w:r>
        <w:rPr>
          <w:rFonts w:hint="eastAsia" w:ascii="宋体" w:hAnsi="宋体" w:eastAsia="宋体" w:cs="宋体"/>
          <w:color w:val="auto"/>
          <w:sz w:val="28"/>
          <w:szCs w:val="28"/>
        </w:rPr>
        <w:t>基础建设项目。项目所涉及的行业不存在行业许可，根据河南省发展和改革委员会关于印发《河南省新能源项目库管理暂行办法》“6兆瓦以下的分布式光伏发电项目(含户用光伏项目)不纳入项目库管理范围，各地根据当地整体开发方案和电网消纳条件推进实施，由电网企业(含增量配网，下同)优先保障并网消纳”。本项目属于完全竞争的行业，可以根据需要自由拓展和开发</w:t>
      </w:r>
      <w:r>
        <w:rPr>
          <w:rFonts w:hint="eastAsia" w:ascii="宋体" w:hAnsi="宋体" w:eastAsia="宋体" w:cs="宋体"/>
          <w:snapToGrid/>
          <w:color w:val="auto"/>
          <w:spacing w:val="0"/>
          <w:w w:val="100"/>
          <w:kern w:val="2"/>
          <w:position w:val="0"/>
          <w:sz w:val="28"/>
          <w:szCs w:val="28"/>
          <w:lang w:val="en-US" w:eastAsia="zh-CN" w:bidi="zh-CN"/>
        </w:rPr>
        <w:t>。</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2.1.3.2 市场准入标准的符合性</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color w:val="auto"/>
          <w:sz w:val="28"/>
          <w:szCs w:val="28"/>
          <w:lang w:val="en-US" w:eastAsia="zh-CN"/>
        </w:rPr>
        <w:t>本</w:t>
      </w:r>
      <w:r>
        <w:rPr>
          <w:rFonts w:hint="eastAsia" w:ascii="宋体" w:hAnsi="宋体" w:eastAsia="宋体" w:cs="宋体"/>
          <w:color w:val="auto"/>
          <w:sz w:val="28"/>
          <w:szCs w:val="28"/>
        </w:rPr>
        <w:t>项目</w:t>
      </w:r>
      <w:r>
        <w:rPr>
          <w:rFonts w:hint="eastAsia" w:ascii="宋体" w:hAnsi="宋体" w:eastAsia="宋体" w:cs="宋体"/>
          <w:color w:val="auto"/>
          <w:sz w:val="28"/>
          <w:szCs w:val="28"/>
          <w:lang w:val="en-US" w:eastAsia="zh-CN"/>
        </w:rPr>
        <w:t>为源网荷储一体化</w:t>
      </w:r>
      <w:r>
        <w:rPr>
          <w:rFonts w:hint="eastAsia" w:ascii="宋体" w:hAnsi="宋体" w:eastAsia="宋体" w:cs="宋体"/>
          <w:color w:val="auto"/>
          <w:sz w:val="28"/>
          <w:szCs w:val="28"/>
        </w:rPr>
        <w:t>基础设施建设。我国光伏发电及储能技术比较成熟，光伏及储能设备成本不高无需巨额资本介入、产业链资源对接等复杂的条件，不存在市场准入条件。本项目产出电量</w:t>
      </w:r>
      <w:r>
        <w:rPr>
          <w:rFonts w:hint="eastAsia" w:ascii="宋体" w:hAnsi="宋体" w:eastAsia="宋体" w:cs="宋体"/>
          <w:color w:val="auto"/>
          <w:sz w:val="28"/>
          <w:szCs w:val="28"/>
          <w:lang w:val="en-US" w:eastAsia="zh-CN"/>
        </w:rPr>
        <w:t>优先出售给项目园区内部企业使用，剩余电量将根据</w:t>
      </w:r>
      <w:r>
        <w:rPr>
          <w:rFonts w:hint="eastAsia" w:ascii="宋体" w:hAnsi="宋体" w:eastAsia="宋体" w:cs="宋体"/>
          <w:b/>
          <w:bCs/>
          <w:sz w:val="28"/>
          <w:szCs w:val="28"/>
        </w:rPr>
        <w:t>《</w:t>
      </w:r>
      <w:r>
        <w:rPr>
          <w:rFonts w:hint="eastAsia" w:ascii="宋体" w:hAnsi="宋体" w:eastAsia="宋体" w:cs="宋体"/>
          <w:b w:val="false"/>
          <w:bCs w:val="false"/>
          <w:sz w:val="28"/>
          <w:szCs w:val="28"/>
        </w:rPr>
        <w:t>河南省工业企业源网荷储一体化项目实施细则（暂行）》</w:t>
      </w:r>
      <w:r>
        <w:rPr>
          <w:rFonts w:hint="eastAsia" w:ascii="宋体" w:hAnsi="宋体" w:eastAsia="宋体" w:cs="宋体"/>
          <w:b w:val="false"/>
          <w:bCs w:val="false"/>
          <w:sz w:val="28"/>
          <w:szCs w:val="28"/>
          <w:lang w:val="en-US" w:eastAsia="zh-CN"/>
        </w:rPr>
        <w:t>文件要求，已项目建设地为核心点半径20公里内</w:t>
      </w:r>
      <w:r>
        <w:rPr>
          <w:rFonts w:hint="eastAsia" w:ascii="宋体" w:hAnsi="宋体" w:eastAsia="宋体" w:cs="宋体"/>
          <w:color w:val="auto"/>
          <w:sz w:val="28"/>
          <w:szCs w:val="28"/>
        </w:rPr>
        <w:t>就近销售给</w:t>
      </w:r>
      <w:r>
        <w:rPr>
          <w:rFonts w:hint="eastAsia" w:ascii="宋体" w:hAnsi="宋体" w:eastAsia="宋体" w:cs="宋体"/>
          <w:color w:val="auto"/>
          <w:sz w:val="28"/>
          <w:szCs w:val="28"/>
          <w:lang w:val="en-US" w:eastAsia="zh-CN"/>
        </w:rPr>
        <w:t>附近用电企业</w:t>
      </w:r>
      <w:r>
        <w:rPr>
          <w:rFonts w:hint="eastAsia" w:ascii="宋体" w:hAnsi="宋体" w:eastAsia="宋体" w:cs="宋体"/>
          <w:color w:val="auto"/>
          <w:sz w:val="28"/>
          <w:szCs w:val="28"/>
        </w:rPr>
        <w:t>，电力消纳不是问题，</w:t>
      </w:r>
      <w:r>
        <w:rPr>
          <w:rFonts w:hint="eastAsia" w:ascii="宋体" w:hAnsi="宋体" w:eastAsia="宋体" w:cs="宋体"/>
          <w:color w:val="auto"/>
          <w:sz w:val="28"/>
          <w:szCs w:val="28"/>
          <w:lang w:val="en-US" w:eastAsia="zh-CN"/>
        </w:rPr>
        <w:t>完全能做到自我消纳，</w:t>
      </w:r>
      <w:r>
        <w:rPr>
          <w:rFonts w:hint="eastAsia" w:ascii="宋体" w:hAnsi="宋体" w:eastAsia="宋体" w:cs="宋体"/>
          <w:color w:val="auto"/>
          <w:sz w:val="28"/>
          <w:szCs w:val="28"/>
        </w:rPr>
        <w:t>不存在市场准入问题</w:t>
      </w:r>
      <w:r>
        <w:rPr>
          <w:rFonts w:hint="eastAsia" w:ascii="宋体" w:hAnsi="宋体" w:eastAsia="宋体" w:cs="宋体"/>
          <w:snapToGrid/>
          <w:color w:val="auto"/>
          <w:spacing w:val="0"/>
          <w:w w:val="100"/>
          <w:kern w:val="2"/>
          <w:position w:val="0"/>
          <w:sz w:val="28"/>
          <w:szCs w:val="28"/>
          <w:lang w:val="en-US" w:eastAsia="zh-CN" w:bidi="zh-CN"/>
        </w:rPr>
        <w:t>。</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2.1.4 前期工作进展情况</w:t>
      </w:r>
    </w:p>
    <w:bookmarkStart w:id="26" w:name="_Toc6213"/>
    <w:p>
      <w:pPr>
        <w:snapToGrid/>
        <w:spacing w:before="157" w:after="157" w:line="360" w:lineRule="auto"/>
        <w:ind w:left="0" w:firstLine="560" w:firstLineChars="200"/>
        <w:jc w:val="both"/>
        <w:rPr/>
      </w:pPr>
      <w:r>
        <w:rPr>
          <w:rFonts w:ascii="宋体" w:hAnsi="宋体" w:eastAsia="宋体" w:cs="宋体"/>
          <w:i w:val="false"/>
          <w:strike w:val="false"/>
          <w:color w:val="000000"/>
          <w:spacing w:val="0"/>
          <w:sz w:val="28"/>
          <w:u w:val="none"/>
        </w:rPr>
        <w:t>本项目建设光伏电站所使用的屋顶为获嘉县产业集聚孵化园项目有限公司名下工业厂房及配套用房8栋，面积16583.11平方米，所有房产均已竣工验收，正在办理不动产权利登记证书。产业园道路、污水厂上方空地等空间较大，可直接按照柔性光伏，可利用面积5677.13㎡。房产及按照柔性光伏详细情况如下：</w:t>
      </w:r>
    </w:p>
    <w:tbl>
      <w:tblPr>
        <w:tblStyle w:val="0000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0"/>
        <w:gridCol w:w="2280"/>
        <w:gridCol w:w="2760"/>
        <w:gridCol w:w="2085"/>
      </w:tblGrid>
      <w:tr>
        <w:trPr>
          <w:trHeight w:val="600" w:hRule="atLeast"/>
        </w:trPr>
        <w:tc>
          <w:tcPr>
            <w:tcW w:w="123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序号</w:t>
            </w:r>
          </w:p>
        </w:tc>
        <w:tc>
          <w:tcPr>
            <w:tcW w:w="2280" w:type="dxa"/>
            <w:tcBorders>
              <w:top w:val="single" w:color="000000" w:sz="6"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名称</w:t>
            </w:r>
          </w:p>
        </w:tc>
        <w:tc>
          <w:tcPr>
            <w:tcW w:w="2760" w:type="dxa"/>
            <w:tcBorders>
              <w:top w:val="single" w:color="000000" w:sz="6"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基底面积(m²)</w:t>
            </w:r>
          </w:p>
        </w:tc>
        <w:tc>
          <w:tcPr>
            <w:tcW w:w="2085" w:type="dxa"/>
            <w:tcBorders>
              <w:top w:val="single" w:color="000000" w:sz="6"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总建筑面积(²)</w:t>
            </w:r>
          </w:p>
        </w:tc>
      </w:tr>
      <w:tr>
        <w:trPr>
          <w:trHeight w:val="298" w:hRule="atLeast"/>
        </w:trPr>
        <w:tc>
          <w:tcPr>
            <w:tcW w:w="123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1</w:t>
            </w:r>
          </w:p>
        </w:tc>
        <w:tc>
          <w:tcPr>
            <w:tcW w:w="228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3#门卫</w:t>
            </w:r>
          </w:p>
        </w:tc>
        <w:tc>
          <w:tcPr>
            <w:tcW w:w="276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 xml:space="preserve">44.00 </w:t>
            </w:r>
          </w:p>
        </w:tc>
        <w:tc>
          <w:tcPr>
            <w:tcW w:w="208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 xml:space="preserve">33.69 </w:t>
            </w:r>
          </w:p>
        </w:tc>
      </w:tr>
      <w:tr>
        <w:trPr>
          <w:trHeight w:val="330" w:hRule="atLeast"/>
        </w:trPr>
        <w:tc>
          <w:tcPr>
            <w:tcW w:w="123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2</w:t>
            </w:r>
          </w:p>
        </w:tc>
        <w:tc>
          <w:tcPr>
            <w:tcW w:w="228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4#研发中心</w:t>
            </w:r>
          </w:p>
        </w:tc>
        <w:tc>
          <w:tcPr>
            <w:tcW w:w="276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 xml:space="preserve">  1035.30 </w:t>
            </w:r>
          </w:p>
        </w:tc>
        <w:tc>
          <w:tcPr>
            <w:tcW w:w="208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 xml:space="preserve">4734.17 </w:t>
            </w:r>
          </w:p>
        </w:tc>
      </w:tr>
      <w:tr>
        <w:trPr>
          <w:trHeight w:val="320" w:hRule="atLeast"/>
        </w:trPr>
        <w:tc>
          <w:tcPr>
            <w:tcW w:w="123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3</w:t>
            </w:r>
          </w:p>
        </w:tc>
        <w:tc>
          <w:tcPr>
            <w:tcW w:w="228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7#宿舍楼</w:t>
            </w:r>
          </w:p>
        </w:tc>
        <w:tc>
          <w:tcPr>
            <w:tcW w:w="276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 xml:space="preserve">  1010.52 </w:t>
            </w:r>
          </w:p>
        </w:tc>
        <w:tc>
          <w:tcPr>
            <w:tcW w:w="208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 xml:space="preserve">4084.76 </w:t>
            </w:r>
          </w:p>
        </w:tc>
      </w:tr>
      <w:tr>
        <w:trPr>
          <w:trHeight w:val="320" w:hRule="atLeast"/>
        </w:trPr>
        <w:tc>
          <w:tcPr>
            <w:tcW w:w="123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4</w:t>
            </w:r>
          </w:p>
        </w:tc>
        <w:tc>
          <w:tcPr>
            <w:tcW w:w="228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13#厂房</w:t>
            </w:r>
          </w:p>
        </w:tc>
        <w:tc>
          <w:tcPr>
            <w:tcW w:w="276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 xml:space="preserve">  3052.86 </w:t>
            </w:r>
          </w:p>
        </w:tc>
        <w:tc>
          <w:tcPr>
            <w:tcW w:w="208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 xml:space="preserve">3052.86 </w:t>
            </w:r>
          </w:p>
        </w:tc>
      </w:tr>
      <w:tr>
        <w:trPr>
          <w:trHeight w:val="320" w:hRule="atLeast"/>
        </w:trPr>
        <w:tc>
          <w:tcPr>
            <w:tcW w:w="123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5</w:t>
            </w:r>
          </w:p>
        </w:tc>
        <w:tc>
          <w:tcPr>
            <w:tcW w:w="228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14#冷库</w:t>
            </w:r>
          </w:p>
        </w:tc>
        <w:tc>
          <w:tcPr>
            <w:tcW w:w="276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 xml:space="preserve">  7797.80 </w:t>
            </w:r>
          </w:p>
        </w:tc>
        <w:tc>
          <w:tcPr>
            <w:tcW w:w="208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 xml:space="preserve">21719.72 </w:t>
            </w:r>
          </w:p>
        </w:tc>
      </w:tr>
      <w:tr>
        <w:trPr>
          <w:trHeight w:val="320" w:hRule="atLeast"/>
        </w:trPr>
        <w:tc>
          <w:tcPr>
            <w:tcW w:w="123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6</w:t>
            </w:r>
          </w:p>
        </w:tc>
        <w:tc>
          <w:tcPr>
            <w:tcW w:w="228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15#厂房</w:t>
            </w:r>
          </w:p>
        </w:tc>
        <w:tc>
          <w:tcPr>
            <w:tcW w:w="276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 xml:space="preserve">  3374.75 </w:t>
            </w:r>
          </w:p>
        </w:tc>
        <w:tc>
          <w:tcPr>
            <w:tcW w:w="208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 xml:space="preserve">6749.50 </w:t>
            </w:r>
          </w:p>
        </w:tc>
      </w:tr>
      <w:tr>
        <w:trPr>
          <w:trHeight w:val="320" w:hRule="atLeast"/>
        </w:trPr>
        <w:tc>
          <w:tcPr>
            <w:tcW w:w="123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7</w:t>
            </w:r>
          </w:p>
        </w:tc>
        <w:tc>
          <w:tcPr>
            <w:tcW w:w="228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16#门卫</w:t>
            </w:r>
          </w:p>
        </w:tc>
        <w:tc>
          <w:tcPr>
            <w:tcW w:w="276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 xml:space="preserve">10.80 </w:t>
            </w:r>
          </w:p>
        </w:tc>
        <w:tc>
          <w:tcPr>
            <w:tcW w:w="208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 xml:space="preserve">10.80 </w:t>
            </w:r>
          </w:p>
        </w:tc>
      </w:tr>
      <w:tr>
        <w:trPr>
          <w:trHeight w:val="330" w:hRule="atLeast"/>
        </w:trPr>
        <w:tc>
          <w:tcPr>
            <w:tcW w:w="123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8</w:t>
            </w:r>
          </w:p>
        </w:tc>
        <w:tc>
          <w:tcPr>
            <w:tcW w:w="228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17#污水处理</w:t>
            </w:r>
          </w:p>
        </w:tc>
        <w:tc>
          <w:tcPr>
            <w:tcW w:w="276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 xml:space="preserve">257.08 </w:t>
            </w:r>
          </w:p>
        </w:tc>
        <w:tc>
          <w:tcPr>
            <w:tcW w:w="208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 xml:space="preserve">1798.92 </w:t>
            </w:r>
          </w:p>
        </w:tc>
      </w:tr>
      <w:tr>
        <w:trPr>
          <w:trHeight w:val="320" w:hRule="atLeast"/>
        </w:trPr>
        <w:tc>
          <w:tcPr>
            <w:tcW w:w="3510" w:type="dxa"/>
            <w:gridSpan w:val="2"/>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  合计</w:t>
            </w:r>
          </w:p>
        </w:tc>
        <w:tc>
          <w:tcPr>
            <w:tcW w:w="276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16583.11</w:t>
            </w:r>
          </w:p>
        </w:tc>
        <w:tc>
          <w:tcPr>
            <w:tcW w:w="208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 xml:space="preserve">92280.82 </w:t>
            </w:r>
          </w:p>
        </w:tc>
      </w:tr>
      <w:tr>
        <w:trPr>
          <w:trHeight w:val="320" w:hRule="atLeast"/>
        </w:trPr>
        <w:tc>
          <w:tcPr>
            <w:tcW w:w="3510" w:type="dxa"/>
            <w:gridSpan w:val="2"/>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过道、污水处理空地及围墙周边等</w:t>
            </w:r>
          </w:p>
        </w:tc>
        <w:tc>
          <w:tcPr>
            <w:tcW w:w="276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5677.13</w:t>
            </w:r>
          </w:p>
        </w:tc>
        <w:tc>
          <w:tcPr>
            <w:tcW w:w="208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 </w:t>
            </w:r>
          </w:p>
        </w:tc>
      </w:tr>
      <w:tr>
        <w:trPr>
          <w:trHeight w:val="320" w:hRule="atLeast"/>
        </w:trPr>
        <w:tc>
          <w:tcPr>
            <w:tcW w:w="3510" w:type="dxa"/>
            <w:gridSpan w:val="2"/>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共合计</w:t>
            </w:r>
          </w:p>
        </w:tc>
        <w:tc>
          <w:tcPr>
            <w:tcW w:w="276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22260.24</w:t>
            </w:r>
          </w:p>
        </w:tc>
        <w:tc>
          <w:tcPr>
            <w:tcW w:w="208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rPr/>
            </w:pPr>
          </w:p>
        </w:tc>
      </w:tr>
    </w:tbl>
    <w:bookmarkStart w:id="27" w:name="_Toc24498"/>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rPr>
      </w:pPr>
      <w:r>
        <w:rPr>
          <w:rFonts w:hint="eastAsia" w:ascii="宋体" w:hAnsi="宋体" w:eastAsia="宋体" w:cs="宋体"/>
          <w:b/>
          <w:bCs/>
          <w:sz w:val="28"/>
          <w:szCs w:val="28"/>
        </w:rPr>
        <w:t>2.2 项目主体发展战略需求分析</w:t>
      </w:r>
      <w:bookmarkEnd w:id="26"/>
      <w:bookmarkEnd w:id="27"/>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 xml:space="preserve">2.2.1 </w:t>
      </w:r>
      <w:r>
        <w:rPr>
          <w:rFonts w:hint="eastAsia" w:ascii="宋体" w:hAnsi="宋体" w:eastAsia="宋体" w:cs="宋体"/>
          <w:b/>
          <w:bCs/>
          <w:sz w:val="28"/>
          <w:szCs w:val="28"/>
          <w:lang w:val="en-US" w:eastAsia="zh-CN"/>
        </w:rPr>
        <w:t>获嘉县</w:t>
      </w:r>
      <w:r>
        <w:rPr>
          <w:rFonts w:hint="eastAsia" w:ascii="宋体" w:hAnsi="宋体" w:eastAsia="宋体" w:cs="宋体"/>
          <w:b/>
          <w:bCs/>
          <w:sz w:val="28"/>
          <w:szCs w:val="28"/>
        </w:rPr>
        <w:t>发展对项目需要分析</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2"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b/>
          <w:bCs/>
          <w:color w:val="auto"/>
          <w:sz w:val="28"/>
          <w:szCs w:val="28"/>
        </w:rPr>
        <w:t>1、</w:t>
      </w:r>
      <w:r>
        <w:rPr>
          <w:rFonts w:hint="eastAsia" w:ascii="宋体" w:hAnsi="宋体" w:eastAsia="宋体" w:cs="宋体"/>
          <w:b/>
          <w:bCs/>
          <w:color w:val="auto"/>
          <w:sz w:val="28"/>
          <w:szCs w:val="28"/>
          <w:lang w:val="en-US" w:eastAsia="zh-CN"/>
        </w:rPr>
        <w:t>获嘉县</w:t>
      </w:r>
      <w:r>
        <w:rPr>
          <w:rFonts w:hint="eastAsia" w:ascii="宋体" w:hAnsi="宋体" w:eastAsia="宋体" w:cs="宋体"/>
          <w:b/>
          <w:bCs/>
          <w:color w:val="auto"/>
          <w:sz w:val="28"/>
          <w:szCs w:val="28"/>
        </w:rPr>
        <w:t>政府需要为中小企业打造降本增效的营商环境</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2023年获嘉县的地区生产总值（GDP）为200.2亿元，同比增长2.3%‌‌。第一产业增加值377953万元，增长0.4%；第二产业增加值749021万元，增长3.1%；第三产业增加值875048万元，增长2.3%。三次产业结构为18.9∶37.4∶43.7‌。社会消费品零售总额完成76.9亿元，增长4.6%；规模以上工业增加值增长7%；一般公共预算收入完成9.61亿元，同比增长11.1%。</w:t>
      </w:r>
      <w:r>
        <w:rPr>
          <w:rFonts w:hint="eastAsia" w:ascii="宋体" w:hAnsi="宋体" w:eastAsia="宋体" w:cs="宋体"/>
          <w:color w:val="auto"/>
          <w:sz w:val="28"/>
          <w:szCs w:val="28"/>
        </w:rPr>
        <w:t>全</w:t>
      </w:r>
      <w:r>
        <w:rPr>
          <w:rFonts w:hint="eastAsia" w:ascii="宋体" w:hAnsi="宋体" w:eastAsia="宋体" w:cs="宋体"/>
          <w:color w:val="auto"/>
          <w:sz w:val="28"/>
          <w:szCs w:val="28"/>
          <w:lang w:val="en-US" w:eastAsia="zh-CN"/>
        </w:rPr>
        <w:t>县</w:t>
      </w:r>
      <w:r>
        <w:rPr>
          <w:rFonts w:hint="eastAsia" w:ascii="宋体" w:hAnsi="宋体" w:eastAsia="宋体" w:cs="宋体"/>
          <w:color w:val="auto"/>
          <w:sz w:val="28"/>
          <w:szCs w:val="28"/>
        </w:rPr>
        <w:t>经济呈现平稳运行、稳中有进的良好态势。作为一个工业企业聚集区，</w:t>
      </w:r>
      <w:r>
        <w:rPr>
          <w:rFonts w:hint="eastAsia" w:ascii="宋体" w:hAnsi="宋体" w:eastAsia="宋体" w:cs="宋体"/>
          <w:color w:val="auto"/>
          <w:sz w:val="28"/>
          <w:szCs w:val="28"/>
          <w:lang w:val="en-US" w:eastAsia="zh-CN"/>
        </w:rPr>
        <w:t>获嘉县</w:t>
      </w:r>
      <w:r>
        <w:rPr>
          <w:rFonts w:hint="eastAsia" w:ascii="宋体" w:hAnsi="宋体" w:eastAsia="宋体" w:cs="宋体"/>
          <w:color w:val="auto"/>
          <w:sz w:val="28"/>
          <w:szCs w:val="28"/>
        </w:rPr>
        <w:t>拥有众多蓬勃发展的工业企业，拥有众多政府优惠政策支持。</w:t>
      </w:r>
      <w:r>
        <w:rPr>
          <w:rFonts w:hint="eastAsia" w:ascii="宋体" w:hAnsi="宋体" w:eastAsia="宋体" w:cs="宋体"/>
          <w:color w:val="auto"/>
          <w:sz w:val="28"/>
          <w:szCs w:val="28"/>
          <w:lang w:val="en-US" w:eastAsia="zh-CN"/>
        </w:rPr>
        <w:t>获嘉县</w:t>
      </w:r>
      <w:r>
        <w:rPr>
          <w:rFonts w:hint="eastAsia" w:ascii="宋体" w:hAnsi="宋体" w:eastAsia="宋体" w:cs="宋体"/>
          <w:color w:val="auto"/>
          <w:sz w:val="28"/>
          <w:szCs w:val="28"/>
        </w:rPr>
        <w:t>以其庞大的工业群体而闻名，涵盖制造业、加工业、</w:t>
      </w:r>
      <w:r>
        <w:rPr>
          <w:rFonts w:hint="eastAsia" w:ascii="宋体" w:hAnsi="宋体" w:eastAsia="宋体" w:cs="宋体"/>
          <w:color w:val="auto"/>
          <w:sz w:val="28"/>
          <w:szCs w:val="28"/>
          <w:lang w:val="en-US" w:eastAsia="zh-CN"/>
        </w:rPr>
        <w:t>化工业、</w:t>
      </w:r>
      <w:r>
        <w:rPr>
          <w:rFonts w:hint="eastAsia" w:ascii="宋体" w:hAnsi="宋体" w:eastAsia="宋体" w:cs="宋体"/>
          <w:color w:val="auto"/>
          <w:sz w:val="28"/>
          <w:szCs w:val="28"/>
        </w:rPr>
        <w:t>绿色能源业等多个行业领域。此外，</w:t>
      </w:r>
      <w:r>
        <w:rPr>
          <w:rFonts w:hint="eastAsia" w:ascii="宋体" w:hAnsi="宋体" w:eastAsia="宋体" w:cs="宋体"/>
          <w:color w:val="auto"/>
          <w:sz w:val="28"/>
          <w:szCs w:val="28"/>
          <w:lang w:val="en-US" w:eastAsia="zh-CN"/>
        </w:rPr>
        <w:t>获嘉县</w:t>
      </w:r>
      <w:r>
        <w:rPr>
          <w:rFonts w:hint="eastAsia" w:ascii="宋体" w:hAnsi="宋体" w:eastAsia="宋体" w:cs="宋体"/>
          <w:color w:val="auto"/>
          <w:sz w:val="28"/>
          <w:szCs w:val="28"/>
        </w:rPr>
        <w:t>的工业企业对电力的需求也极其巨大，电力作为生产和运营的重要能源，对企业的日常运作至关重要。</w:t>
      </w:r>
      <w:r>
        <w:rPr>
          <w:rFonts w:hint="eastAsia" w:ascii="宋体" w:hAnsi="宋体" w:eastAsia="宋体" w:cs="宋体"/>
          <w:color w:val="auto"/>
          <w:sz w:val="28"/>
          <w:szCs w:val="28"/>
          <w:lang w:val="en-US" w:eastAsia="zh-CN"/>
        </w:rPr>
        <w:t>源网荷储一体化</w:t>
      </w:r>
      <w:r>
        <w:rPr>
          <w:rFonts w:hint="eastAsia" w:ascii="宋体" w:hAnsi="宋体" w:eastAsia="宋体" w:cs="宋体"/>
          <w:color w:val="auto"/>
          <w:sz w:val="28"/>
          <w:szCs w:val="28"/>
        </w:rPr>
        <w:t>的建设能满足</w:t>
      </w:r>
      <w:r>
        <w:rPr>
          <w:rFonts w:hint="eastAsia" w:ascii="宋体" w:hAnsi="宋体" w:eastAsia="宋体" w:cs="宋体"/>
          <w:color w:val="auto"/>
          <w:sz w:val="28"/>
          <w:szCs w:val="28"/>
          <w:lang w:val="en-US" w:eastAsia="zh-CN"/>
        </w:rPr>
        <w:t>园区内部</w:t>
      </w:r>
      <w:r>
        <w:rPr>
          <w:rFonts w:hint="eastAsia" w:ascii="宋体" w:hAnsi="宋体" w:eastAsia="宋体" w:cs="宋体"/>
          <w:color w:val="auto"/>
          <w:sz w:val="28"/>
          <w:szCs w:val="28"/>
        </w:rPr>
        <w:t>企业</w:t>
      </w:r>
      <w:r>
        <w:rPr>
          <w:rFonts w:hint="eastAsia" w:ascii="宋体" w:hAnsi="宋体" w:eastAsia="宋体" w:cs="宋体"/>
          <w:color w:val="auto"/>
          <w:sz w:val="28"/>
          <w:szCs w:val="28"/>
          <w:lang w:val="en-US" w:eastAsia="zh-CN"/>
        </w:rPr>
        <w:t>及周边企业</w:t>
      </w:r>
      <w:r>
        <w:rPr>
          <w:rFonts w:hint="eastAsia" w:ascii="宋体" w:hAnsi="宋体" w:eastAsia="宋体" w:cs="宋体"/>
          <w:color w:val="auto"/>
          <w:sz w:val="28"/>
          <w:szCs w:val="28"/>
        </w:rPr>
        <w:t>日常经营用电需求，提供稳定、廉价的用电服务，同时为企业降本增效提供了坚实的保障基础。</w:t>
      </w:r>
    </w:p>
    <w:p>
      <w:pPr>
        <w:keepNext w:val="false"/>
        <w:keepLines w:val="false"/>
        <w:pageBreakBefore w:val="false"/>
        <w:widowControl w:val="false"/>
        <w:kinsoku/>
        <w:wordWrap/>
        <w:overflowPunct/>
        <w:topLinePunct w:val="false"/>
        <w:autoSpaceDE/>
        <w:autoSpaceDN/>
        <w:bidi w:val="false"/>
        <w:adjustRightInd/>
        <w:snapToGrid/>
        <w:spacing w:before="157" w:beforeLines="50" w:after="157" w:afterLines="50"/>
        <w:ind w:firstLine="550"/>
        <w:textAlignment w:val="auto"/>
        <w:rPr>
          <w:rFonts w:hint="eastAsia" w:ascii="宋体" w:hAnsi="宋体" w:eastAsia="宋体" w:cs="宋体"/>
          <w:b/>
          <w:bCs/>
          <w:color w:val="auto"/>
          <w:sz w:val="28"/>
          <w:szCs w:val="28"/>
        </w:rPr>
      </w:pPr>
      <w:r>
        <w:rPr>
          <w:rFonts w:hint="eastAsia" w:ascii="宋体" w:hAnsi="宋体" w:eastAsia="宋体" w:cs="宋体"/>
          <w:b/>
          <w:bCs/>
          <w:color w:val="auto"/>
          <w:sz w:val="28"/>
          <w:szCs w:val="28"/>
        </w:rPr>
        <w:t>2、获嘉县产业集聚区创业孵化园有限公司需要筹划优质项目丰富经营项目结构</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color w:val="auto"/>
          <w:sz w:val="28"/>
          <w:szCs w:val="28"/>
        </w:rPr>
        <w:t>获嘉县产业集聚区创业孵化园有限公司</w:t>
      </w:r>
      <w:r>
        <w:rPr>
          <w:rFonts w:hint="eastAsia" w:ascii="宋体" w:hAnsi="宋体" w:eastAsia="宋体" w:cs="宋体"/>
          <w:color w:val="auto"/>
          <w:sz w:val="28"/>
          <w:szCs w:val="28"/>
          <w:lang w:val="en-US" w:eastAsia="zh-CN"/>
        </w:rPr>
        <w:t>作为</w:t>
      </w:r>
      <w:r>
        <w:rPr>
          <w:rFonts w:hint="eastAsia" w:ascii="宋体" w:hAnsi="宋体" w:eastAsia="宋体" w:cs="宋体"/>
          <w:color w:val="auto"/>
          <w:sz w:val="28"/>
          <w:szCs w:val="28"/>
        </w:rPr>
        <w:t>本项目的项目公司，其目前主要经</w:t>
      </w:r>
      <w:r>
        <w:rPr>
          <w:rFonts w:hint="eastAsia" w:ascii="宋体" w:hAnsi="宋体" w:eastAsia="宋体" w:cs="宋体"/>
          <w:color w:val="auto"/>
          <w:sz w:val="28"/>
          <w:szCs w:val="28"/>
          <w:lang w:val="en-US" w:eastAsia="zh-CN"/>
        </w:rPr>
        <w:t>营仓储冷链服务</w:t>
      </w:r>
      <w:r>
        <w:rPr>
          <w:rFonts w:hint="eastAsia" w:ascii="宋体" w:hAnsi="宋体" w:eastAsia="宋体" w:cs="宋体"/>
          <w:color w:val="auto"/>
          <w:sz w:val="28"/>
          <w:szCs w:val="28"/>
        </w:rPr>
        <w:t>、</w:t>
      </w:r>
      <w:r>
        <w:rPr>
          <w:rFonts w:hint="eastAsia" w:ascii="宋体" w:hAnsi="宋体" w:eastAsia="宋体" w:cs="宋体"/>
          <w:color w:val="auto"/>
          <w:sz w:val="28"/>
          <w:szCs w:val="28"/>
          <w:lang w:val="en-US" w:eastAsia="zh-CN"/>
        </w:rPr>
        <w:t>普通仓储</w:t>
      </w:r>
      <w:r>
        <w:rPr>
          <w:rFonts w:hint="eastAsia" w:ascii="宋体" w:hAnsi="宋体" w:eastAsia="宋体" w:cs="宋体"/>
          <w:color w:val="auto"/>
          <w:sz w:val="28"/>
          <w:szCs w:val="28"/>
        </w:rPr>
        <w:t>及</w:t>
      </w:r>
      <w:r>
        <w:rPr>
          <w:rFonts w:hint="eastAsia" w:ascii="宋体" w:hAnsi="宋体" w:eastAsia="宋体" w:cs="宋体"/>
          <w:color w:val="auto"/>
          <w:sz w:val="28"/>
          <w:szCs w:val="28"/>
          <w:lang w:val="en-US" w:eastAsia="zh-CN"/>
        </w:rPr>
        <w:t>农产品加工销售</w:t>
      </w:r>
      <w:r>
        <w:rPr>
          <w:rFonts w:hint="eastAsia" w:ascii="宋体" w:hAnsi="宋体" w:eastAsia="宋体" w:cs="宋体"/>
          <w:color w:val="auto"/>
          <w:sz w:val="28"/>
          <w:szCs w:val="28"/>
        </w:rPr>
        <w:t>等活动。经营项目较为传统单一。拟建项目将为获嘉县产业集聚区创业孵化园有限</w:t>
      </w:r>
      <w:r>
        <w:rPr>
          <w:rFonts w:hint="eastAsia" w:ascii="宋体" w:hAnsi="宋体" w:eastAsia="宋体" w:cs="宋体"/>
          <w:color w:val="auto"/>
          <w:sz w:val="28"/>
          <w:szCs w:val="28"/>
          <w:lang w:val="en-US" w:eastAsia="zh-CN"/>
        </w:rPr>
        <w:t>公司</w:t>
      </w:r>
      <w:r>
        <w:rPr>
          <w:rFonts w:hint="eastAsia" w:ascii="宋体" w:hAnsi="宋体" w:eastAsia="宋体" w:cs="宋体"/>
          <w:color w:val="auto"/>
          <w:sz w:val="28"/>
          <w:szCs w:val="28"/>
        </w:rPr>
        <w:t>丰富经营项目结构提供一个适宜的目标，并在项目运作过程中积累经验和资金，促进经营性转型。</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b/>
          <w:bCs w:val="false"/>
          <w:i w:val="false"/>
          <w:iCs w:val="false"/>
          <w:caps w:val="false"/>
          <w:smallCaps w:val="false"/>
          <w:strike w:val="false"/>
          <w:dstrike w:val="false"/>
          <w:vanish w:val="false"/>
          <w:color w:val="auto"/>
          <w:spacing w:val="0"/>
          <w:kern w:val="0"/>
          <w:position w:val="0"/>
          <w:sz w:val="28"/>
          <w:szCs w:val="28"/>
          <w:u w:val="none"/>
          <w:vertAlign w:val="baseline"/>
          <w:lang w:val="en-US" w:eastAsia="zh-CN" w:bidi="ar-SA"/>
        </w:rPr>
        <w:t>2.2.2 拟建项目对促进获嘉县发展战略落地的紧迫性和重要性</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color w:val="auto"/>
          <w:sz w:val="28"/>
          <w:szCs w:val="28"/>
        </w:rPr>
        <w:t>目前，在</w:t>
      </w:r>
      <w:r>
        <w:rPr>
          <w:rFonts w:hint="eastAsia" w:ascii="宋体" w:hAnsi="宋体" w:eastAsia="宋体" w:cs="宋体"/>
          <w:color w:val="auto"/>
          <w:sz w:val="28"/>
          <w:szCs w:val="28"/>
          <w:lang w:val="en-US" w:eastAsia="zh-CN"/>
        </w:rPr>
        <w:t>经济趋势下行的</w:t>
      </w:r>
      <w:r>
        <w:rPr>
          <w:rFonts w:hint="eastAsia" w:ascii="宋体" w:hAnsi="宋体" w:eastAsia="宋体" w:cs="宋体"/>
          <w:color w:val="auto"/>
          <w:sz w:val="28"/>
          <w:szCs w:val="28"/>
        </w:rPr>
        <w:t>大环境下</w:t>
      </w:r>
      <w:r>
        <w:rPr>
          <w:rFonts w:hint="eastAsia" w:ascii="宋体" w:hAnsi="宋体" w:eastAsia="宋体" w:cs="宋体"/>
          <w:color w:val="auto"/>
          <w:sz w:val="28"/>
          <w:szCs w:val="28"/>
          <w:lang w:val="en-US" w:eastAsia="zh-CN"/>
        </w:rPr>
        <w:t>获嘉县</w:t>
      </w:r>
      <w:r>
        <w:rPr>
          <w:rFonts w:hint="eastAsia" w:ascii="宋体" w:hAnsi="宋体" w:eastAsia="宋体" w:cs="宋体"/>
          <w:color w:val="auto"/>
          <w:sz w:val="28"/>
          <w:szCs w:val="28"/>
        </w:rPr>
        <w:t>企业经营普遍遇到困难，降本增效是经营中最急迫的工作。在这个市场出清时期，如果企业寻找出减低经营成本道路，有可以面临被淘汰出局的风险。拟建项目利用</w:t>
      </w:r>
      <w:r>
        <w:rPr>
          <w:rFonts w:hint="eastAsia" w:ascii="宋体" w:hAnsi="宋体" w:eastAsia="宋体" w:cs="宋体"/>
          <w:color w:val="auto"/>
          <w:sz w:val="28"/>
          <w:szCs w:val="28"/>
          <w:lang w:val="en-US" w:eastAsia="zh-CN"/>
        </w:rPr>
        <w:t>源网荷储一体化的优势和政府支持条件</w:t>
      </w:r>
      <w:r>
        <w:rPr>
          <w:rFonts w:hint="eastAsia" w:ascii="宋体" w:hAnsi="宋体" w:eastAsia="宋体" w:cs="宋体"/>
          <w:color w:val="auto"/>
          <w:sz w:val="28"/>
          <w:szCs w:val="28"/>
        </w:rPr>
        <w:t>，极大程度上解决</w:t>
      </w:r>
      <w:r>
        <w:rPr>
          <w:rFonts w:hint="eastAsia" w:ascii="宋体" w:hAnsi="宋体" w:eastAsia="宋体" w:cs="宋体"/>
          <w:color w:val="auto"/>
          <w:sz w:val="28"/>
          <w:szCs w:val="28"/>
          <w:lang w:val="en-US" w:eastAsia="zh-CN"/>
        </w:rPr>
        <w:t>项目园区内及周边</w:t>
      </w:r>
      <w:r>
        <w:rPr>
          <w:rFonts w:hint="eastAsia" w:ascii="宋体" w:hAnsi="宋体" w:eastAsia="宋体" w:cs="宋体"/>
          <w:color w:val="auto"/>
          <w:sz w:val="28"/>
          <w:szCs w:val="28"/>
        </w:rPr>
        <w:t>中小企业用电贵、成本高的困境，更能提高能源供给的可靠性和稳定性，从能源方面降低企业生产成本，也能给企业转型升级争取时间和机会。</w:t>
      </w:r>
    </w:p>
    <w:bookmarkStart w:id="28" w:name="_Toc5481"/>
    <w:bookmarkStart w:id="29" w:name="_Toc22213"/>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rPr>
      </w:pPr>
      <w:r>
        <w:rPr>
          <w:rFonts w:hint="eastAsia" w:ascii="宋体" w:hAnsi="宋体" w:eastAsia="宋体" w:cs="宋体"/>
          <w:b/>
          <w:bCs/>
          <w:sz w:val="28"/>
          <w:szCs w:val="28"/>
        </w:rPr>
        <w:t>2.3 项目市场需求分析</w:t>
      </w:r>
      <w:bookmarkEnd w:id="28"/>
      <w:bookmarkEnd w:id="29"/>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2.3.1 项目的业态分析</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本项目业态大致分为：源网荷储、光伏发电、储能调峰。</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1、源网荷储</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源网荷储作为一种新型电力系统综合业态，正深刻影响着能源产业格局。从电源端来看，传统火电在能源结构调整下，逐步向灵活性改造方向发展，以更好地平衡新能源发电的间歇性与波动性；与此同时，风电、光伏等清洁能源装机规模持续增长，其发电成本不断降低，成为能源供应的重要力量。电网层面，随着分布式电源的广泛接入以及电力负荷的动态变化，电网的智能化升级迫在眉睫，需加强输电网络的韧性与配电网的灵活性，以实现电力的高效传输与精准分配，例如采用先进的电力电子技术、智能监控系统等提升电网的运行效率与可靠性。负荷侧，工业、商业、居民等各类用户对于电能质量与可靠性的要求日益提高，通过需求响应机制、节能技术应用等手段，实现削峰填谷，优化电力资源配置，降低用电成本。储能则是整个业态的关键支撑，无论是电化学储能、抽水蓄能还是其他新型储能技术，都在发挥着 “蓄水池” 作用，存储多余电能，在用电高峰或发电不足时释放，平抑功率波动、增强系统稳定性，促进源网荷各环节的紧密协同，提升电力系统整体的安全性、经济性和灵活性，推动能源行业朝着绿色低碳、智能高效的方向迈进，催生了新的商业模式和市场机遇，如储能参与辅助服务市场、虚拟电厂的兴起等，为能源产业的可持续发展注入新活力。</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default"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2、光伏发电</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光伏发电业态是一种利用太阳能转化为电能的可再生能源解决方案，通过光伏电池板将太阳光中的光子转化为电力，以满足日益增长的能源需求。该业态涵盖了从光伏组件的制造、系统的设计与安装，到电力的生产和销售等全过程，形成了一个完整的产业链。光伏发电系统主要包括光伏电池板、逆变器、支架、监控系统等设备，光伏电池板通过光电效应将太阳光转化为直流电，再通过逆变器将直流电转换为交流电，以便于并入电网或供给直接使用。光伏发电不仅能够有效减少对化石燃料的依赖，降低温室气体排放，还能通过其可再生特性提供稳定的电力供应，促进能源结构的优化。该业态的关键在于技术进步和成本控制，随着光伏技术的不断革新和规模效应的提升，光伏发电的成本逐年下降，使其在全球范围内得到广泛应用。此外，光伏发电系统具有较低的维护成本和长期的经济效益，适合于住宅、商业建筑以及大型光伏电站等多种应用场景。通过政策支持、市场推动和技术创新，光伏发电业态正在加速全球能源转型，为实现可持续发展目标和应对气候变化挑战做出重要贡献。</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default"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3、储能调峰</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储能调峰业态是现代能源系统中的关键组成部分，通过先进的储能技术平衡电力供应与需求的波动，提高电网的稳定性和可靠性。该业态主要涉及使用各种储能设备，如锂电池、钠硫电池、抽水蓄能、压缩空气储能等，将电力存储在需求低峰期，并在需求高峰期释放，以补充电网供电不足的问题。这种调峰能力能够有效应对可再生能源（如风能和太阳能）的间歇性特征，使其能够在电力需求高峰期间平稳地供电，提高系统的整体运行效率。储能调峰不仅优化了电力系统的运行，减少了电力波动对电网的冲击，还延长了设备的使用寿命，降低了电力系统的整体运营成本。此外，通过智能化的调度和管理系统，储能调峰业态能够实现对电力生产和消费的精准预测和调节，使电网的负荷分布更加均衡，从而提高能源利用效率。储能技术的进步和成本的降低使得这一业态在未来能源转型中具有广阔的发展前景，为实现绿色低碳目标和构建高效、稳定的能源系统提供了有力支持。</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2.3.2 目标市场环境和容量</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1、源网荷储市场环境</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近年来国家不断下发政策性文件支持开发建设源网荷储一体化项目，同时地方需求也在不断增加，获嘉县建设源网荷储一体化项目市场环境较为乐观。在政策方面，国家大力倡导绿色能源发展，推进源网荷储一体化建设，河南省也出台了一系列政策细则，如《河南省加快推进源网荷储一体化实施方案》，明确了项目实施范围、重点任务及保障措施，为获嘉县的项目提供了方向指引和政策支持，鼓励企业积极参与新能源建设，提升清洁能源占比，推动配网改造升级和储能设施建设，保障项目的并网消纳等权益，营造了良好的政策氛围。</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从市场需求来看，随着当地经济的发展，工业用电需求持续增长，尤其是获嘉县工业集聚区的众多企业，如中新化工、中小企业孵化园、河南晶瑞日用品、大成包装等，用电量大且对电能质量和稳定性要求较高，源网荷储一体化项目能够就地消纳新能源电力，降低企业用电成本，满足其稳定可靠的电力需求，具有较大的市场吸引力。</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2、源网荷储市场容量</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随着当地经济的稳步前行，各产业尤其是工业领域呈现出蓬勃发展态势，用电需求持续攀升。众多中小企业不断发展壮大，其生产运营对电力的依赖程度与日俱增，为源网荷储一体化项目提供了坚实的市场基础。在当前能源转型的大趋势下，绿色能源成为降低企业运营成本、提高生产效率的关键要素。对于获嘉县的中小企业而言，源网荷储一体化项目所提供的清洁电能，不仅能满足其日益增长的电力需求，保障生产活动的稳定开展，还能借助绿电的价格优势以及储能系统对峰谷电价差的有效利用，大幅降低用电成本，增强市场竞争力。从长期来看，随着技术的不断进步与完善，源网荷储一体化项目的应用范围将进一步拓展，无论是工业园区、商业综合体还是居民社区，都将成为潜在的市场增长点，其市场容量有望持续扩充，在满足获嘉县能源需求、推动绿色发展的道路上发挥关键作用。</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2.3.3 产品或服务价格</w:t>
      </w:r>
    </w:p>
    <w:p>
      <w:pPr>
        <w:keepNext w:val="false"/>
        <w:keepLines w:val="false"/>
        <w:pageBreakBefore w:val="false"/>
        <w:widowControl w:val="false"/>
        <w:kinsoku/>
        <w:wordWrap/>
        <w:overflowPunct/>
        <w:topLinePunct/>
        <w:autoSpaceDE w:val="false"/>
        <w:autoSpaceDN w:val="false"/>
        <w:bidi w:val="false"/>
        <w:adjustRightInd/>
        <w:snapToGrid/>
        <w:spacing w:before="157" w:beforeLines="50" w:after="157" w:afterLines="50" w:line="360" w:lineRule="auto"/>
        <w:ind w:left="0" w:leftChars="0" w:right="0" w:firstLine="560" w:firstLineChars="200"/>
        <w:jc w:val="both"/>
        <w:rPr/>
      </w:pPr>
      <w:r>
        <w:rPr>
          <w:rFonts w:hint="eastAsia" w:ascii="宋体" w:hAnsi="宋体" w:eastAsia="宋体" w:cs="宋体"/>
          <w:snapToGrid/>
          <w:color w:val="auto"/>
          <w:spacing w:val="0"/>
          <w:w w:val="100"/>
          <w:kern w:val="2"/>
          <w:position w:val="0"/>
          <w:sz w:val="28"/>
          <w:szCs w:val="28"/>
          <w:lang w:val="en-US" w:eastAsia="zh-CN" w:bidi="zh-CN"/>
        </w:rPr>
        <w:t>拟建项目的收入主要有光伏售电收入、储能调峰收入及光伏充电桩收入。详细费用情况参阅第六章节。</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2.3.</w:t>
      </w:r>
      <w:r>
        <w:rPr>
          <w:rFonts w:hint="eastAsia" w:ascii="宋体" w:hAnsi="宋体" w:eastAsia="宋体" w:cs="宋体"/>
          <w:b/>
          <w:bCs/>
          <w:sz w:val="28"/>
          <w:szCs w:val="28"/>
          <w:lang w:val="en-US" w:eastAsia="zh-CN"/>
        </w:rPr>
        <w:t>4</w:t>
      </w:r>
      <w:r>
        <w:rPr>
          <w:rFonts w:hint="eastAsia" w:ascii="宋体" w:hAnsi="宋体" w:eastAsia="宋体" w:cs="宋体"/>
          <w:b/>
          <w:bCs/>
          <w:sz w:val="28"/>
          <w:szCs w:val="28"/>
        </w:rPr>
        <w:t xml:space="preserve"> 市场饱和程度</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将根据</w:t>
      </w:r>
      <w:r>
        <w:rPr>
          <w:rFonts w:hint="eastAsia" w:ascii="宋体" w:hAnsi="宋体" w:eastAsia="宋体" w:cs="宋体"/>
          <w:b/>
          <w:bCs/>
          <w:sz w:val="28"/>
          <w:szCs w:val="28"/>
        </w:rPr>
        <w:t>《</w:t>
      </w:r>
      <w:r>
        <w:rPr>
          <w:rFonts w:hint="eastAsia" w:ascii="宋体" w:hAnsi="宋体" w:eastAsia="宋体" w:cs="宋体"/>
          <w:b w:val="false"/>
          <w:bCs w:val="false"/>
          <w:sz w:val="28"/>
          <w:szCs w:val="28"/>
        </w:rPr>
        <w:t>河南省工业企业源网荷储一体化项目实施细则（暂行）》</w:t>
      </w:r>
      <w:r>
        <w:rPr>
          <w:rFonts w:hint="eastAsia" w:ascii="宋体" w:hAnsi="宋体" w:eastAsia="宋体" w:cs="宋体"/>
          <w:b w:val="false"/>
          <w:bCs w:val="false"/>
          <w:sz w:val="28"/>
          <w:szCs w:val="28"/>
          <w:lang w:val="en-US" w:eastAsia="zh-CN"/>
        </w:rPr>
        <w:t>文件要求，已项目建设地为核心点半径20公里内</w:t>
      </w:r>
      <w:r>
        <w:rPr>
          <w:rFonts w:hint="eastAsia" w:ascii="宋体" w:hAnsi="宋体" w:eastAsia="宋体" w:cs="宋体"/>
          <w:color w:val="auto"/>
          <w:sz w:val="28"/>
          <w:szCs w:val="28"/>
        </w:rPr>
        <w:t>就近销售给</w:t>
      </w:r>
      <w:r>
        <w:rPr>
          <w:rFonts w:hint="eastAsia" w:ascii="宋体" w:hAnsi="宋体" w:eastAsia="宋体" w:cs="宋体"/>
          <w:color w:val="auto"/>
          <w:sz w:val="28"/>
          <w:szCs w:val="28"/>
          <w:lang w:val="en-US" w:eastAsia="zh-CN"/>
        </w:rPr>
        <w:t>附近用电企业完成自我消纳，</w:t>
      </w:r>
      <w:r>
        <w:rPr>
          <w:rFonts w:hint="eastAsia" w:ascii="宋体" w:hAnsi="宋体" w:eastAsia="宋体" w:cs="宋体"/>
          <w:color w:val="auto"/>
          <w:sz w:val="28"/>
          <w:szCs w:val="28"/>
        </w:rPr>
        <w:t>本项目所产出的绿色电力能源出售给</w:t>
      </w:r>
      <w:r>
        <w:rPr>
          <w:rFonts w:ascii="宋体" w:hAnsi="宋体" w:eastAsia="宋体" w:cs="宋体"/>
          <w:i w:val="false"/>
          <w:strike w:val="false"/>
          <w:spacing w:val="0"/>
          <w:sz w:val="28"/>
          <w:u w:val="none"/>
        </w:rPr>
        <w:t>新乡市腾飞纸业有限公司</w:t>
      </w:r>
      <w:r>
        <w:rPr>
          <w:rFonts w:hint="eastAsia" w:ascii="宋体" w:hAnsi="宋体" w:eastAsia="宋体" w:cs="宋体"/>
          <w:color w:val="auto"/>
          <w:sz w:val="28"/>
          <w:szCs w:val="28"/>
        </w:rPr>
        <w:t>使用</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rPr>
        <w:t>项目年产出绿电约为3</w:t>
      </w:r>
      <w:r>
        <w:rPr>
          <w:rFonts w:hint="eastAsia" w:ascii="宋体" w:hAnsi="宋体" w:eastAsia="宋体" w:cs="宋体"/>
          <w:color w:val="000000"/>
          <w:sz w:val="28"/>
          <w:szCs w:val="28"/>
        </w:rPr>
        <w:t>50</w:t>
      </w:r>
      <w:r>
        <w:rPr>
          <w:rFonts w:hint="eastAsia" w:ascii="宋体" w:hAnsi="宋体" w:eastAsia="宋体" w:cs="宋体"/>
          <w:color w:val="000000"/>
          <w:sz w:val="28"/>
          <w:szCs w:val="28"/>
          <w:lang w:val="en-US" w:eastAsia="zh-CN"/>
        </w:rPr>
        <w:t>.00</w:t>
      </w:r>
      <w:r>
        <w:rPr>
          <w:rFonts w:hint="eastAsia" w:ascii="宋体" w:hAnsi="宋体" w:eastAsia="宋体" w:cs="宋体"/>
          <w:color w:val="000000"/>
          <w:sz w:val="28"/>
          <w:szCs w:val="28"/>
        </w:rPr>
        <w:t>万KWH</w:t>
      </w:r>
      <w:r>
        <w:rPr>
          <w:rFonts w:hint="eastAsia" w:ascii="宋体" w:hAnsi="宋体" w:eastAsia="宋体" w:cs="宋体"/>
          <w:color w:val="000000"/>
          <w:sz w:val="28"/>
          <w:szCs w:val="28"/>
          <w:lang w:eastAsia="zh-CN"/>
        </w:rPr>
        <w:t>（</w:t>
      </w:r>
      <w:r>
        <w:rPr>
          <w:rFonts w:hint="eastAsia" w:ascii="宋体" w:hAnsi="宋体" w:eastAsia="宋体" w:cs="宋体"/>
          <w:color w:val="000000"/>
          <w:sz w:val="28"/>
          <w:szCs w:val="28"/>
          <w:lang w:val="en-US" w:eastAsia="zh-CN"/>
        </w:rPr>
        <w:t>计算</w:t>
      </w:r>
      <w:r>
        <w:rPr>
          <w:rFonts w:hint="eastAsia" w:ascii="宋体" w:hAnsi="宋体" w:eastAsia="宋体" w:cs="宋体"/>
          <w:color w:val="auto"/>
          <w:sz w:val="28"/>
          <w:szCs w:val="28"/>
          <w:lang w:val="en-US" w:eastAsia="zh-CN"/>
        </w:rPr>
        <w:t>公式见第六章内容）</w:t>
      </w:r>
      <w:r>
        <w:rPr>
          <w:rFonts w:hint="eastAsia" w:ascii="宋体" w:hAnsi="宋体" w:eastAsia="宋体" w:cs="宋体"/>
          <w:color w:val="auto"/>
          <w:sz w:val="28"/>
          <w:szCs w:val="28"/>
        </w:rPr>
        <w:t>。</w:t>
      </w:r>
      <w:r>
        <w:rPr>
          <w:rFonts w:hint="eastAsia" w:ascii="宋体" w:hAnsi="宋体" w:eastAsia="宋体" w:cs="宋体"/>
          <w:color w:val="auto"/>
          <w:sz w:val="28"/>
          <w:szCs w:val="28"/>
          <w:lang w:val="en-US" w:eastAsia="zh-CN"/>
        </w:rPr>
        <w:t>经调查，目前</w:t>
      </w:r>
      <w:r>
        <w:rPr>
          <w:rFonts w:ascii="宋体" w:hAnsi="宋体" w:eastAsia="宋体" w:cs="宋体"/>
          <w:i w:val="false"/>
          <w:strike w:val="false"/>
          <w:spacing w:val="0"/>
          <w:sz w:val="28"/>
          <w:u w:val="none"/>
        </w:rPr>
        <w:t>新乡市腾飞纸业有限公司</w:t>
      </w:r>
      <w:r>
        <w:rPr>
          <w:rFonts w:hint="eastAsia" w:ascii="宋体" w:hAnsi="宋体" w:eastAsia="宋体" w:cs="宋体"/>
          <w:color w:val="auto"/>
          <w:sz w:val="28"/>
          <w:szCs w:val="28"/>
          <w:lang w:val="en-US" w:eastAsia="zh-CN"/>
        </w:rPr>
        <w:t>年用电量约</w:t>
      </w:r>
      <w:r>
        <w:rPr>
          <w:rFonts w:hint="eastAsia" w:ascii="宋体" w:hAnsi="宋体" w:eastAsia="宋体" w:cs="宋体"/>
          <w:color w:val="000000"/>
          <w:sz w:val="28"/>
          <w:szCs w:val="28"/>
          <w:lang w:val="en-US" w:eastAsia="zh-CN"/>
        </w:rPr>
        <w:t>为2048.00万</w:t>
      </w:r>
      <w:r>
        <w:rPr>
          <w:rFonts w:hint="eastAsia" w:ascii="宋体" w:hAnsi="宋体" w:eastAsia="宋体" w:cs="宋体"/>
          <w:color w:val="000000"/>
          <w:sz w:val="28"/>
          <w:szCs w:val="28"/>
        </w:rPr>
        <w:t>KWH</w:t>
      </w:r>
      <w:r>
        <w:rPr>
          <w:rFonts w:hint="eastAsia" w:ascii="宋体" w:hAnsi="宋体" w:eastAsia="宋体" w:cs="宋体"/>
          <w:color w:val="000000"/>
          <w:sz w:val="28"/>
          <w:szCs w:val="28"/>
          <w:lang w:eastAsia="zh-CN"/>
        </w:rPr>
        <w:t>，该企业是24小时不间断生产，相应每天用电时段用电量平均，</w:t>
      </w:r>
      <w:r>
        <w:rPr>
          <w:rFonts w:hint="eastAsia" w:ascii="宋体" w:hAnsi="宋体" w:eastAsia="宋体" w:cs="宋体"/>
          <w:b/>
          <w:color w:val="auto"/>
          <w:sz w:val="28"/>
          <w:szCs w:val="28"/>
          <w:lang w:val="en-US" w:eastAsia="zh-CN"/>
        </w:rPr>
        <w:t>本项目光伏发电将直接供应至</w:t>
      </w:r>
      <w:r>
        <w:rPr>
          <w:rFonts w:ascii="宋体" w:hAnsi="宋体" w:eastAsia="宋体" w:cs="宋体"/>
          <w:b/>
          <w:i w:val="false"/>
          <w:strike w:val="false"/>
          <w:spacing w:val="0"/>
          <w:sz w:val="28"/>
          <w:u w:val="none"/>
        </w:rPr>
        <w:t>新乡市腾飞纸业有限公司</w:t>
      </w:r>
      <w:r>
        <w:rPr>
          <w:rFonts w:hint="eastAsia" w:ascii="宋体" w:hAnsi="宋体" w:eastAsia="宋体" w:cs="宋体"/>
          <w:b/>
          <w:color w:val="auto"/>
          <w:sz w:val="28"/>
          <w:szCs w:val="28"/>
          <w:lang w:val="en-US" w:eastAsia="zh-CN"/>
        </w:rPr>
        <w:t>平谷时段用电，项目储能将满足该公司在高峰时段电力稳定供应。低谷时段国网电价较低，国网压力较小，用电企业可直接向国网购买，平谷用电不足部分将直接向国网购买。</w:t>
      </w:r>
      <w:r>
        <w:rPr>
          <w:rFonts w:hint="eastAsia" w:ascii="宋体" w:hAnsi="宋体" w:eastAsia="宋体" w:cs="宋体"/>
          <w:b/>
          <w:color w:val="auto"/>
          <w:sz w:val="28"/>
          <w:szCs w:val="28"/>
        </w:rPr>
        <w:t>本项目所产出绿色电力能源销售价格低于国网销售价格，对用电量较大的企业具有致命的吸引力（销售价格详情见第六章盈利能力分析）。</w:t>
      </w:r>
    </w:p>
    <w:p>
      <w:pPr>
        <w:keepNext w:val="false"/>
        <w:keepLines w:val="false"/>
        <w:pageBreakBefore w:val="false"/>
        <w:widowControl w:val="false"/>
        <w:pBdr>
          <w:bottom w:val="none" w:color="auto" w:sz="0" w:space="0"/>
        </w:pBdr>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2" w:firstLineChars="200"/>
        <w:jc w:val="both"/>
        <w:textAlignment w:val="auto"/>
        <w:outlineLvl w:val="9"/>
        <w:rPr>
          <w:rFonts w:hint="eastAsia" w:ascii="宋体" w:hAnsi="宋体" w:eastAsia="宋体" w:cs="宋体"/>
          <w:b/>
          <w:snapToGrid/>
          <w:color w:val="auto"/>
          <w:spacing w:val="0"/>
          <w:w w:val="100"/>
          <w:kern w:val="2"/>
          <w:position w:val="0"/>
          <w:sz w:val="28"/>
          <w:szCs w:val="28"/>
          <w:lang w:val="en-US" w:eastAsia="zh-CN" w:bidi="zh-CN"/>
        </w:rPr>
      </w:pPr>
      <w:r>
        <w:rPr>
          <w:rFonts w:hint="eastAsia" w:ascii="宋体" w:hAnsi="宋体" w:eastAsia="宋体" w:cs="宋体"/>
          <w:b/>
          <w:snapToGrid/>
          <w:color w:val="auto"/>
          <w:spacing w:val="0"/>
          <w:w w:val="100"/>
          <w:kern w:val="2"/>
          <w:position w:val="0"/>
          <w:sz w:val="28"/>
          <w:szCs w:val="28"/>
          <w:lang w:val="en-US" w:eastAsia="zh-CN" w:bidi="zh-CN"/>
        </w:rPr>
        <w:t>另外，在项目周边半径20公里范围内，还有众多用电量较大的企业，例如：河南金天化工有限公司年用电量约9000万</w:t>
      </w:r>
      <w:r>
        <w:rPr>
          <w:rFonts w:hint="eastAsia" w:ascii="宋体" w:hAnsi="宋体" w:eastAsia="宋体" w:cs="宋体"/>
          <w:b/>
          <w:color w:val="000000"/>
          <w:sz w:val="28"/>
          <w:szCs w:val="28"/>
        </w:rPr>
        <w:t>KWH、新乡中新化工有限责任公司年用电量约6000万KWH、河南宏一纺织有限公司年用电量约4000万KWH，以上企业都可以作为本项目消纳客户。</w:t>
      </w:r>
      <w:r>
        <w:rPr>
          <w:rFonts w:hint="eastAsia" w:ascii="宋体" w:hAnsi="宋体" w:eastAsia="宋体" w:cs="宋体"/>
          <w:b/>
          <w:color w:val="auto"/>
          <w:sz w:val="28"/>
          <w:szCs w:val="28"/>
        </w:rPr>
        <w:t>目标市场环境较好，容量缺口较大。</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2.3.</w:t>
      </w:r>
      <w:r>
        <w:rPr>
          <w:rFonts w:hint="eastAsia" w:ascii="宋体" w:hAnsi="宋体" w:eastAsia="宋体" w:cs="宋体"/>
          <w:b/>
          <w:bCs/>
          <w:sz w:val="28"/>
          <w:szCs w:val="28"/>
          <w:lang w:val="en-US" w:eastAsia="zh-CN"/>
        </w:rPr>
        <w:t>5</w:t>
      </w:r>
      <w:r>
        <w:rPr>
          <w:rFonts w:hint="eastAsia" w:ascii="宋体" w:hAnsi="宋体" w:eastAsia="宋体" w:cs="宋体"/>
          <w:b/>
          <w:bCs/>
          <w:sz w:val="28"/>
          <w:szCs w:val="28"/>
        </w:rPr>
        <w:t xml:space="preserve"> 行业发展趋势</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default"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1、能源结构清洁化加速</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在 “双碳” 目标引领下，清洁能源在源端的占比将持续大幅提高。太阳能、风能凭借其资源丰富、分布广泛且成本持续降低的优势，将实现大规模快速发展，海上风电、分布式光伏等项目建设加速推进。同时，水电、核能等清洁能源也将稳步发展，传统火电则逐步向灵活性改造和调峰兜底角色转变，以适应清洁能源发电的间歇性和波动性，构建以清洁能源为主导的新型电力供应体系。</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default"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2、电网智能化升级深化</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为应对新能源大规模接入和负荷多样化需求，电网将向智能化、柔性化方向深度发展。先进的电力电子技术广泛应用，实现对电流、电压等参数的精准控制和电能的高效变换；智能电网调度系统更加完善，利用大数据、云计算和人工智能技术，对电网运行状态进行实时监测、分析和预测，优化电力资源配置，提高电网可靠性和供电质量，实现源网荷储各环节的智能互动与协调运行，如虚拟电厂等新型电力运营模式将得到更广泛实践。</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default"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3、用户侧灵活性资源潜力释放</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需求侧响应在源网荷储体系中的作用日益凸显。工业、商业和居民用户通过安装智能电表、控制系统等设备，实现用电行为的智能化管理，根据电网供需情况和价格信号灵活调整用电负荷，参与削峰填谷，获取经济收益。储能系统在用户侧的应用将更加普及，不仅保障关键负荷的不间断供电，还能利用峰谷电价差套利，降低用电成本，提升能源利用效率，用户从单纯的电力消费者逐渐转变为电力系统的参与者和调节者。</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default"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4、储能技术多元化突破与规模化应用</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储能是源网荷储协同发展的关键支撑，各类储能技术将共同发展并实现突破。锂离子电池储能在技术成熟度和成本控制方面优势明显，短期内仍将占据主导地位，但安全性和资源回收问题将逐步解决；液流电池、钠离子电池等新型电化学储能技术凭借其长寿命、大容量、高安全性等特点，进入商业化推广阶段；抽水蓄能作为大规模储能的成熟技术，建设步伐加快，同时压缩空气储能、飞轮储能、储热等技术也将在各自适用场景下实现规模化应用，为电力系统提供多样化的储能解决方案，增强系统稳定性和灵活性。</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default"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5、市场机制与商业模式创新活跃</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随着源网荷储行业的发展，电力市场机制将不断完善，分时电价、现货市场、辅助服务市场等更加健全，为各市场主体提供公平、透明的交易环境和多元化的盈利途径。源网荷储一体化项目的商业模式将不断创新，如能源服务公司（ESCO）通过整合能源资源，为用户提供一站式能源解决方案，包括能源供应、节能改造、储能租赁等服务；分布式能源运营商通过建设和运营分布式源网荷储系统，实现电力的直接供应，与电网企业建立互利共赢的合作关系，激发市场活力，推动行业可持续发展。</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color w:val="000000"/>
          <w:sz w:val="28"/>
          <w:szCs w:val="28"/>
        </w:rPr>
      </w:pPr>
      <w:r>
        <w:rPr>
          <w:rFonts w:hint="eastAsia" w:ascii="宋体" w:hAnsi="宋体" w:eastAsia="宋体" w:cs="宋体"/>
          <w:b/>
          <w:bCs/>
          <w:color w:val="000000"/>
          <w:sz w:val="28"/>
          <w:szCs w:val="28"/>
        </w:rPr>
        <w:t>2.3.</w:t>
      </w:r>
      <w:r>
        <w:rPr>
          <w:rFonts w:hint="eastAsia" w:ascii="宋体" w:hAnsi="宋体" w:eastAsia="宋体" w:cs="宋体"/>
          <w:b/>
          <w:bCs/>
          <w:color w:val="000000"/>
          <w:sz w:val="28"/>
          <w:szCs w:val="28"/>
          <w:lang w:val="en-US" w:eastAsia="zh-CN"/>
        </w:rPr>
        <w:t>6</w:t>
      </w:r>
      <w:r>
        <w:rPr>
          <w:rFonts w:hint="eastAsia" w:ascii="宋体" w:hAnsi="宋体" w:eastAsia="宋体" w:cs="宋体"/>
          <w:b/>
          <w:bCs/>
          <w:color w:val="000000"/>
          <w:sz w:val="28"/>
          <w:szCs w:val="28"/>
        </w:rPr>
        <w:t xml:space="preserve"> 项目产品或服务的竞争力</w:t>
      </w:r>
    </w:p>
    <w:p>
      <w:pPr>
        <w:snapToGrid/>
        <w:spacing w:before="157" w:after="157" w:line="360" w:lineRule="auto"/>
        <w:ind w:left="0" w:right="0" w:firstLine="562" w:firstLineChars="200"/>
        <w:jc w:val="both"/>
        <w:rPr/>
      </w:pPr>
      <w:r>
        <w:rPr>
          <w:rFonts w:ascii="宋体" w:hAnsi="宋体" w:eastAsia="宋体" w:cs="宋体"/>
          <w:b/>
          <w:i w:val="false"/>
          <w:strike w:val="false"/>
          <w:color w:val="000000"/>
          <w:sz w:val="28"/>
          <w:u w:val="none"/>
        </w:rPr>
        <w:t>1、项目供电价格低于传统供电价格</w:t>
      </w:r>
    </w:p>
    <w:p>
      <w:pPr>
        <w:snapToGrid/>
        <w:spacing w:before="157" w:after="157" w:line="360" w:lineRule="auto"/>
        <w:ind w:left="0" w:right="0" w:firstLine="560" w:firstLineChars="200"/>
        <w:jc w:val="both"/>
        <w:rPr/>
      </w:pPr>
      <w:r>
        <w:rPr>
          <w:rFonts w:ascii="宋体" w:hAnsi="宋体" w:eastAsia="宋体" w:cs="宋体"/>
          <w:i w:val="false"/>
          <w:strike w:val="false"/>
          <w:color w:val="000000"/>
          <w:sz w:val="28"/>
          <w:u w:val="none"/>
        </w:rPr>
        <w:t>企业通过使用绿色能源供电相较于使用传统供电，可以获得更低的电价，从而在节省企业运营成本方面具有显著的优势。本项目系能源供电采取光伏发电，其生产过程无需消耗有限资源，且不产生温室气体排放，因此在价格上往往更为优惠。其次，政府针对可再生能源的政策支持，如补贴和税收优惠，降低了绿色电力的购买成本。这些政策措施进一步降低了企业的用电成本，帮助企业节省运营费用。</w:t>
      </w:r>
    </w:p>
    <w:p>
      <w:pPr>
        <w:snapToGrid/>
        <w:spacing w:before="157" w:after="157" w:line="360" w:lineRule="auto"/>
        <w:ind w:left="0" w:right="0" w:firstLine="562" w:firstLineChars="200"/>
        <w:jc w:val="both"/>
        <w:rPr/>
      </w:pPr>
      <w:r>
        <w:rPr>
          <w:rFonts w:ascii="宋体" w:hAnsi="宋体" w:eastAsia="宋体" w:cs="宋体"/>
          <w:b/>
          <w:i w:val="false"/>
          <w:strike w:val="false"/>
          <w:color w:val="000000"/>
          <w:sz w:val="28"/>
          <w:u w:val="none"/>
        </w:rPr>
        <w:t>2、绿色电力可以协同中小企业绿色转型</w:t>
      </w:r>
    </w:p>
    <w:p>
      <w:pPr>
        <w:snapToGrid/>
        <w:spacing w:before="0" w:after="0" w:line="360" w:lineRule="auto"/>
        <w:ind w:left="0" w:right="0" w:firstLine="560" w:firstLineChars="200"/>
        <w:jc w:val="both"/>
        <w:rPr/>
      </w:pPr>
      <w:r>
        <w:rPr>
          <w:rFonts w:ascii="宋体" w:hAnsi="宋体" w:eastAsia="宋体" w:cs="宋体"/>
          <w:i w:val="false"/>
          <w:strike w:val="false"/>
          <w:color w:val="000000"/>
          <w:sz w:val="28"/>
          <w:u w:val="none"/>
        </w:rPr>
        <w:t>绿色电力的采用可以在多个层面协助企业实现绿色转型。首先，绿色电力供应商通常提供与可再生能源相关的技术和咨询服务，帮助企业评估其能源使用情况，并提出有效的节能方案，从而降低能源消耗和成本。其次，通过与绿色电力供应商建立合作关系，企业可以获得政府的奖励和认可，如绿色证书或减排配额，进而提升其品牌形象和市场竞争力。此外，一些绿色电力供应商还提供灵活的购电方式和定制化的解决方案，满足不同企业的需求，，使其更容易实施绿色能源转型。另外，作为绿色供应链的一部分，采用绿色电力还可以激励企业的供应商和合作伙伴跟随其步伐，共同推动整个产业链的绿色化转型。最重要的是，绿色电力的使用符合当今社会对环保和可持续发展的迫切需求，中小企业选择绿色电力不仅可以降低环境风险，还可以吸引更多的消费者和投资者，促进企业的长期可持续发展。因此，通过与绿色电力供应商合作，企业可以获得技术支持、市场优势和社会认可，实现可持续发展的双赢局面。</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default"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3、源网荷储根据周边企业用电需求进行降本增效提供了安全廉价的绿色电力能源</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在这一模式下，通过整合电源、电网、负荷和储能等环节，实现了能源的高效利用和优化配置。对于周边企业而言，首先，源网荷储模式中的光伏发电等清洁能源发电方式，大大降低了对传统化石能源的依赖。随着技术的不断进步，光伏发电成本持续下降，为企业提供了廉价的电力供应。相比传统能源，绿色电力价格更为稳定，不受国际能源市场波动的影响，有效降低了企业的能源采购成本。其次，储能系统的加入确保了电力供应的稳定性和可靠性。在用电高峰时期，储能系统可以释放电能，满足企业的用电需求，避免因电网负荷过大而导致的停电或限电情况，为企业的生产经营活动提供了安全保障。同时，企业使用绿色电力有助于减少碳排放，满足环保要求，提升企业的社会形象和市场竞争力。此外，源网荷储一体化模式还可以根据企业的用电需求进行个性化定制，实现精准供电，进一步提高能源利用效率。通过智能化的能源管理系统，企业可以实时监测和控制用电情况，优化用电策略，降低能源浪费。总之，源网荷储模式为周边企业带来了安全廉价的绿色电力能源，为企业的可持续发展提供了有力支持。</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2.3.7 项目产品或服务的市场拥有量</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000000"/>
          <w:spacing w:val="0"/>
          <w:w w:val="100"/>
          <w:kern w:val="2"/>
          <w:position w:val="0"/>
          <w:sz w:val="28"/>
          <w:szCs w:val="28"/>
          <w:lang w:val="en-US" w:eastAsia="zh-CN" w:bidi="zh-CN"/>
        </w:rPr>
      </w:pPr>
      <w:r>
        <w:rPr>
          <w:rFonts w:hint="eastAsia" w:ascii="宋体" w:hAnsi="宋体" w:eastAsia="宋体" w:cs="宋体"/>
          <w:snapToGrid/>
          <w:color w:val="000000"/>
          <w:spacing w:val="0"/>
          <w:w w:val="100"/>
          <w:kern w:val="2"/>
          <w:position w:val="0"/>
          <w:sz w:val="28"/>
          <w:szCs w:val="28"/>
          <w:lang w:val="en-US" w:eastAsia="zh-CN" w:bidi="zh-CN"/>
        </w:rPr>
        <w:t>截至 2024 年 12 月 23 日，河南省已实施五批源网荷储一体化项目，规模共计 5.225GW。其中工业企业类项目占比较大，在已实施的 253 个项目中，工业企业类项目有 49 个，工业企业类项目在项目规模上占据了重要部分。以下是对这一情况的具体介绍：</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000000"/>
          <w:spacing w:val="0"/>
          <w:w w:val="100"/>
          <w:kern w:val="2"/>
          <w:position w:val="0"/>
          <w:sz w:val="28"/>
          <w:szCs w:val="28"/>
          <w:lang w:val="en-US" w:eastAsia="zh-CN" w:bidi="zh-CN"/>
        </w:rPr>
      </w:pPr>
      <w:r>
        <w:rPr>
          <w:rFonts w:hint="eastAsia" w:ascii="宋体" w:hAnsi="宋体" w:eastAsia="宋体" w:cs="宋体"/>
          <w:snapToGrid/>
          <w:color w:val="000000"/>
          <w:spacing w:val="0"/>
          <w:w w:val="100"/>
          <w:kern w:val="2"/>
          <w:position w:val="0"/>
          <w:sz w:val="28"/>
          <w:szCs w:val="28"/>
          <w:lang w:val="en-US" w:eastAsia="zh-CN" w:bidi="zh-CN"/>
        </w:rPr>
        <w:t>第一批：6 月 21 日，河南省发改委发布《关于实施第一批源网荷储一体化项目的通知》，共包含 63 个新能源项目，合计规模为 2.145GW，其中工业企业类项目 49 个，规模共计 1254.3MW。</w:t>
      </w:r>
    </w:p>
    <w:tbl>
      <w:tblPr>
        <w:tblStyle w:val="0000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5"/>
        <w:gridCol w:w="2190"/>
        <w:gridCol w:w="1880"/>
        <w:gridCol w:w="1990"/>
        <w:gridCol w:w="1345"/>
      </w:tblGrid>
      <w:tr>
        <w:trPr/>
        <w:tc>
          <w:tcPr>
            <w:tcW w:w="84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序号</w:t>
            </w:r>
          </w:p>
        </w:tc>
        <w:tc>
          <w:tcPr>
            <w:tcW w:w="2190"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新能源项目（个数）</w:t>
            </w:r>
          </w:p>
        </w:tc>
        <w:tc>
          <w:tcPr>
            <w:tcW w:w="1880"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新乡地区（个数）</w:t>
            </w:r>
          </w:p>
        </w:tc>
        <w:tc>
          <w:tcPr>
            <w:tcW w:w="1990"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其他地区（个数）</w:t>
            </w:r>
          </w:p>
        </w:tc>
        <w:tc>
          <w:tcPr>
            <w:tcW w:w="134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备注</w:t>
            </w:r>
          </w:p>
        </w:tc>
      </w:tr>
      <w:tr>
        <w:trPr/>
        <w:tc>
          <w:tcPr>
            <w:tcW w:w="84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1</w:t>
            </w:r>
          </w:p>
        </w:tc>
        <w:tc>
          <w:tcPr>
            <w:tcW w:w="2190"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63</w:t>
            </w:r>
          </w:p>
        </w:tc>
        <w:tc>
          <w:tcPr>
            <w:tcW w:w="1880"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0</w:t>
            </w:r>
          </w:p>
        </w:tc>
        <w:tc>
          <w:tcPr>
            <w:tcW w:w="1990"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63</w:t>
            </w:r>
          </w:p>
        </w:tc>
        <w:tc>
          <w:tcPr>
            <w:tcW w:w="134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p>
        </w:tc>
      </w:tr>
    </w:tbl>
    <w:p>
      <w:pPr>
        <w:keepNext w:val="false"/>
        <w:keepLines w:val="false"/>
        <w:pageBreakBefore w:val="false"/>
        <w:widowControl w:val="false"/>
        <w:pBdr>
          <w:bottom w:val="none" w:color="auto" w:sz="0" w:space="0"/>
        </w:pBdr>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000000"/>
          <w:spacing w:val="0"/>
          <w:w w:val="100"/>
          <w:kern w:val="2"/>
          <w:position w:val="0"/>
          <w:sz w:val="28"/>
          <w:szCs w:val="28"/>
          <w:lang w:val="en-US" w:eastAsia="zh-CN" w:bidi="zh-CN"/>
        </w:rPr>
      </w:pPr>
      <w:r>
        <w:rPr>
          <w:rFonts w:hint="eastAsia" w:ascii="宋体" w:hAnsi="宋体" w:eastAsia="宋体" w:cs="宋体"/>
          <w:snapToGrid/>
          <w:color w:val="000000"/>
          <w:spacing w:val="0"/>
          <w:w w:val="100"/>
          <w:kern w:val="2"/>
          <w:position w:val="0"/>
          <w:sz w:val="28"/>
          <w:szCs w:val="28"/>
          <w:lang w:val="en-US" w:eastAsia="zh-CN" w:bidi="zh-CN"/>
        </w:rPr>
        <w:t>第二批：7 月 23 日，河南省发改委发布《关于实施第二批源网荷储一体化项目的通知》，工业企业类 40 个项目纳入第二批实施范围，新能源总规模 917.71MW。</w:t>
      </w:r>
    </w:p>
    <w:tbl>
      <w:tblPr>
        <w:tblStyle w:val="0000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5"/>
        <w:gridCol w:w="2190"/>
        <w:gridCol w:w="1865"/>
        <w:gridCol w:w="2035"/>
        <w:gridCol w:w="1315"/>
      </w:tblGrid>
      <w:tr>
        <w:trPr>
          <w:trHeight w:val="0" w:hRule="atLeast"/>
        </w:trPr>
        <w:tc>
          <w:tcPr>
            <w:tcW w:w="84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序号</w:t>
            </w:r>
          </w:p>
        </w:tc>
        <w:tc>
          <w:tcPr>
            <w:tcW w:w="2190"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新能源项目（个数）</w:t>
            </w:r>
          </w:p>
        </w:tc>
        <w:tc>
          <w:tcPr>
            <w:tcW w:w="186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新乡地区（个数）</w:t>
            </w:r>
          </w:p>
        </w:tc>
        <w:tc>
          <w:tcPr>
            <w:tcW w:w="203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其他地区（个数）</w:t>
            </w:r>
          </w:p>
        </w:tc>
        <w:tc>
          <w:tcPr>
            <w:tcW w:w="131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备注</w:t>
            </w:r>
          </w:p>
        </w:tc>
      </w:tr>
      <w:tr>
        <w:trPr>
          <w:trHeight w:val="0" w:hRule="atLeast"/>
        </w:trPr>
        <w:tc>
          <w:tcPr>
            <w:tcW w:w="84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1</w:t>
            </w:r>
          </w:p>
        </w:tc>
        <w:tc>
          <w:tcPr>
            <w:tcW w:w="2190"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45</w:t>
            </w:r>
          </w:p>
        </w:tc>
        <w:tc>
          <w:tcPr>
            <w:tcW w:w="186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1</w:t>
            </w:r>
          </w:p>
        </w:tc>
        <w:tc>
          <w:tcPr>
            <w:tcW w:w="203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44</w:t>
            </w:r>
          </w:p>
        </w:tc>
        <w:tc>
          <w:tcPr>
            <w:tcW w:w="131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p>
        </w:tc>
      </w:tr>
    </w:tbl>
    <w:p>
      <w:pPr>
        <w:keepNext w:val="false"/>
        <w:keepLines w:val="false"/>
        <w:pageBreakBefore w:val="false"/>
        <w:widowControl w:val="false"/>
        <w:pBdr>
          <w:bottom w:val="none" w:color="auto" w:sz="0" w:space="0"/>
        </w:pBdr>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000000"/>
          <w:spacing w:val="0"/>
          <w:w w:val="100"/>
          <w:kern w:val="2"/>
          <w:position w:val="0"/>
          <w:sz w:val="28"/>
          <w:szCs w:val="28"/>
          <w:lang w:val="en-US" w:eastAsia="zh-CN" w:bidi="zh-CN"/>
        </w:rPr>
      </w:pPr>
      <w:r>
        <w:rPr>
          <w:rFonts w:hint="eastAsia" w:ascii="宋体" w:hAnsi="宋体" w:eastAsia="宋体" w:cs="宋体"/>
          <w:snapToGrid/>
          <w:color w:val="000000"/>
          <w:spacing w:val="0"/>
          <w:w w:val="100"/>
          <w:kern w:val="2"/>
          <w:position w:val="0"/>
          <w:sz w:val="28"/>
          <w:szCs w:val="28"/>
          <w:lang w:val="en-US" w:eastAsia="zh-CN" w:bidi="zh-CN"/>
        </w:rPr>
        <w:t>第三批：8 月 30 日，河南省发改委发布《关于实施第三批源网荷储一体化项目（工业企业类、增量配电网类）的通知》，工业企业类 19 个项目纳入第三批实施范围，总规模为 637.6MW。</w:t>
      </w:r>
    </w:p>
    <w:tbl>
      <w:tblPr>
        <w:tblStyle w:val="0000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5"/>
        <w:gridCol w:w="2190"/>
        <w:gridCol w:w="1865"/>
        <w:gridCol w:w="2035"/>
        <w:gridCol w:w="1315"/>
      </w:tblGrid>
      <w:tr>
        <w:trPr>
          <w:trHeight w:val="0" w:hRule="atLeast"/>
        </w:trPr>
        <w:tc>
          <w:tcPr>
            <w:tcW w:w="84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序号</w:t>
            </w:r>
          </w:p>
        </w:tc>
        <w:tc>
          <w:tcPr>
            <w:tcW w:w="2190"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新能源项目（个数）</w:t>
            </w:r>
          </w:p>
        </w:tc>
        <w:tc>
          <w:tcPr>
            <w:tcW w:w="186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新乡地区（个数）</w:t>
            </w:r>
          </w:p>
        </w:tc>
        <w:tc>
          <w:tcPr>
            <w:tcW w:w="203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其他地区（个数）</w:t>
            </w:r>
          </w:p>
        </w:tc>
        <w:tc>
          <w:tcPr>
            <w:tcW w:w="131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备注</w:t>
            </w:r>
          </w:p>
        </w:tc>
      </w:tr>
      <w:tr>
        <w:trPr>
          <w:trHeight w:val="0" w:hRule="atLeast"/>
        </w:trPr>
        <w:tc>
          <w:tcPr>
            <w:tcW w:w="84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1</w:t>
            </w:r>
          </w:p>
        </w:tc>
        <w:tc>
          <w:tcPr>
            <w:tcW w:w="2190"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21</w:t>
            </w:r>
          </w:p>
        </w:tc>
        <w:tc>
          <w:tcPr>
            <w:tcW w:w="186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0</w:t>
            </w:r>
          </w:p>
        </w:tc>
        <w:tc>
          <w:tcPr>
            <w:tcW w:w="203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21</w:t>
            </w:r>
          </w:p>
        </w:tc>
        <w:tc>
          <w:tcPr>
            <w:tcW w:w="131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p>
        </w:tc>
      </w:tr>
    </w:tbl>
    <w:p>
      <w:pPr>
        <w:keepNext w:val="false"/>
        <w:keepLines w:val="false"/>
        <w:pageBreakBefore w:val="false"/>
        <w:widowControl w:val="false"/>
        <w:pBdr>
          <w:bottom w:val="none" w:color="auto" w:sz="0" w:space="0"/>
        </w:pBdr>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000000"/>
          <w:spacing w:val="0"/>
          <w:w w:val="100"/>
          <w:kern w:val="2"/>
          <w:position w:val="0"/>
          <w:sz w:val="28"/>
          <w:szCs w:val="28"/>
          <w:lang w:val="en-US" w:eastAsia="zh-CN" w:bidi="zh-CN"/>
        </w:rPr>
      </w:pPr>
      <w:r>
        <w:rPr>
          <w:rFonts w:hint="eastAsia" w:ascii="宋体" w:hAnsi="宋体" w:eastAsia="宋体" w:cs="宋体"/>
          <w:snapToGrid/>
          <w:color w:val="000000"/>
          <w:spacing w:val="0"/>
          <w:w w:val="100"/>
          <w:kern w:val="2"/>
          <w:position w:val="0"/>
          <w:sz w:val="28"/>
          <w:szCs w:val="28"/>
          <w:lang w:val="en-US" w:eastAsia="zh-CN" w:bidi="zh-CN"/>
        </w:rPr>
        <w:t>第四批：11 月 4 日，河南省发展和改革委员会发布《关于实施第四批源网荷储一体化项目的通知》，本批次涉及项目规模共 653.91MW。</w:t>
      </w:r>
    </w:p>
    <w:tbl>
      <w:tblPr>
        <w:tblStyle w:val="0000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5"/>
        <w:gridCol w:w="2190"/>
        <w:gridCol w:w="1865"/>
        <w:gridCol w:w="2035"/>
        <w:gridCol w:w="1315"/>
      </w:tblGrid>
      <w:tr>
        <w:trPr>
          <w:trHeight w:val="0" w:hRule="atLeast"/>
        </w:trPr>
        <w:tc>
          <w:tcPr>
            <w:tcW w:w="84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序号</w:t>
            </w:r>
          </w:p>
        </w:tc>
        <w:tc>
          <w:tcPr>
            <w:tcW w:w="2190"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新能源项目（个数）</w:t>
            </w:r>
          </w:p>
        </w:tc>
        <w:tc>
          <w:tcPr>
            <w:tcW w:w="186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新乡地区（个数）</w:t>
            </w:r>
          </w:p>
        </w:tc>
        <w:tc>
          <w:tcPr>
            <w:tcW w:w="203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其他地区（个数）</w:t>
            </w:r>
          </w:p>
        </w:tc>
        <w:tc>
          <w:tcPr>
            <w:tcW w:w="131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备注</w:t>
            </w:r>
          </w:p>
        </w:tc>
      </w:tr>
      <w:tr>
        <w:trPr>
          <w:trHeight w:val="703" w:hRule="atLeast"/>
        </w:trPr>
        <w:tc>
          <w:tcPr>
            <w:tcW w:w="84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1</w:t>
            </w:r>
          </w:p>
        </w:tc>
        <w:tc>
          <w:tcPr>
            <w:tcW w:w="2190"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61</w:t>
            </w:r>
          </w:p>
        </w:tc>
        <w:tc>
          <w:tcPr>
            <w:tcW w:w="186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2</w:t>
            </w:r>
          </w:p>
        </w:tc>
        <w:tc>
          <w:tcPr>
            <w:tcW w:w="203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59</w:t>
            </w:r>
          </w:p>
        </w:tc>
        <w:tc>
          <w:tcPr>
            <w:tcW w:w="131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p>
        </w:tc>
      </w:tr>
    </w:tbl>
    <w:p>
      <w:pPr>
        <w:keepNext w:val="false"/>
        <w:keepLines w:val="false"/>
        <w:pageBreakBefore w:val="false"/>
        <w:widowControl w:val="false"/>
        <w:pBdr>
          <w:bottom w:val="none" w:color="auto" w:sz="0" w:space="0"/>
        </w:pBdr>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000000"/>
          <w:spacing w:val="0"/>
          <w:w w:val="100"/>
          <w:kern w:val="2"/>
          <w:position w:val="0"/>
          <w:sz w:val="28"/>
          <w:szCs w:val="28"/>
          <w:lang w:val="en-US" w:eastAsia="zh-CN" w:bidi="zh-CN"/>
        </w:rPr>
      </w:pPr>
      <w:r>
        <w:rPr>
          <w:rFonts w:hint="eastAsia" w:ascii="宋体" w:hAnsi="宋体" w:eastAsia="宋体" w:cs="宋体"/>
          <w:snapToGrid/>
          <w:color w:val="000000"/>
          <w:spacing w:val="0"/>
          <w:w w:val="100"/>
          <w:kern w:val="2"/>
          <w:position w:val="0"/>
          <w:sz w:val="28"/>
          <w:szCs w:val="28"/>
          <w:lang w:val="en-US" w:eastAsia="zh-CN" w:bidi="zh-CN"/>
        </w:rPr>
        <w:t>第五批：12 月 23 日，河南省发改委发布《关于实施第五批源网荷储一体化项目的通知》，工业企业类 49 个项目纳入第五批实施范围，规模共 823.999MW，包含风电 511.1MW，光伏 312.899MW。</w:t>
      </w:r>
    </w:p>
    <w:tbl>
      <w:tblPr>
        <w:tblStyle w:val="0000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5"/>
        <w:gridCol w:w="2190"/>
        <w:gridCol w:w="1865"/>
        <w:gridCol w:w="2035"/>
        <w:gridCol w:w="1315"/>
      </w:tblGrid>
      <w:tr>
        <w:trPr>
          <w:trHeight w:val="0" w:hRule="atLeast"/>
        </w:trPr>
        <w:tc>
          <w:tcPr>
            <w:tcW w:w="84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序号</w:t>
            </w:r>
          </w:p>
        </w:tc>
        <w:tc>
          <w:tcPr>
            <w:tcW w:w="2190"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新能源项目（个数）</w:t>
            </w:r>
          </w:p>
        </w:tc>
        <w:tc>
          <w:tcPr>
            <w:tcW w:w="186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新乡地区（个数）</w:t>
            </w:r>
          </w:p>
        </w:tc>
        <w:tc>
          <w:tcPr>
            <w:tcW w:w="203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其他地区（个数）</w:t>
            </w:r>
          </w:p>
        </w:tc>
        <w:tc>
          <w:tcPr>
            <w:tcW w:w="131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备注</w:t>
            </w:r>
          </w:p>
        </w:tc>
      </w:tr>
      <w:tr>
        <w:trPr>
          <w:trHeight w:val="703" w:hRule="atLeast"/>
        </w:trPr>
        <w:tc>
          <w:tcPr>
            <w:tcW w:w="84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1</w:t>
            </w:r>
          </w:p>
        </w:tc>
        <w:tc>
          <w:tcPr>
            <w:tcW w:w="2190"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61</w:t>
            </w:r>
          </w:p>
        </w:tc>
        <w:tc>
          <w:tcPr>
            <w:tcW w:w="186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5</w:t>
            </w:r>
          </w:p>
        </w:tc>
        <w:tc>
          <w:tcPr>
            <w:tcW w:w="203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r>
              <w:rPr>
                <w:rFonts w:hint="eastAsia" w:ascii="宋体" w:hAnsi="宋体" w:eastAsia="宋体" w:cs="宋体"/>
                <w:snapToGrid/>
                <w:color w:val="000000"/>
                <w:spacing w:val="0"/>
                <w:w w:val="100"/>
                <w:kern w:val="2"/>
                <w:position w:val="0"/>
                <w:sz w:val="22"/>
                <w:szCs w:val="28"/>
                <w:lang w:val="en-US" w:eastAsia="zh-CN" w:bidi="zh-CN"/>
              </w:rPr>
              <w:t>56</w:t>
            </w:r>
          </w:p>
        </w:tc>
        <w:tc>
          <w:tcPr>
            <w:tcW w:w="131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2"/>
                <w:szCs w:val="28"/>
                <w:lang w:val="en-US" w:eastAsia="zh-CN" w:bidi="zh-CN"/>
              </w:rPr>
            </w:pPr>
          </w:p>
        </w:tc>
      </w:tr>
    </w:tbl>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根据以上内容，</w:t>
      </w:r>
      <w:r>
        <w:rPr>
          <w:rFonts w:hint="eastAsia" w:ascii="宋体" w:hAnsi="宋体" w:eastAsia="宋体" w:cs="宋体"/>
          <w:snapToGrid/>
          <w:color w:val="000000"/>
          <w:spacing w:val="0"/>
          <w:w w:val="100"/>
          <w:kern w:val="2"/>
          <w:position w:val="0"/>
          <w:sz w:val="28"/>
          <w:szCs w:val="28"/>
          <w:lang w:val="en-US" w:eastAsia="zh-CN" w:bidi="zh-CN"/>
        </w:rPr>
        <w:t>河南省已实施源网荷储一体化项目第一批至第五批次，新乡市有8个项目申报建设，此间无获嘉县区域项目，</w:t>
      </w:r>
      <w:r>
        <w:rPr>
          <w:rFonts w:hint="eastAsia" w:ascii="宋体" w:hAnsi="宋体" w:eastAsia="宋体" w:cs="宋体"/>
          <w:snapToGrid/>
          <w:color w:val="auto"/>
          <w:spacing w:val="0"/>
          <w:w w:val="100"/>
          <w:kern w:val="2"/>
          <w:position w:val="0"/>
          <w:sz w:val="28"/>
          <w:szCs w:val="28"/>
          <w:lang w:val="en-US" w:eastAsia="zh-CN" w:bidi="zh-CN"/>
        </w:rPr>
        <w:t>市场拥有量为零。</w:t>
      </w:r>
    </w:p>
    <w:bookmarkStart w:id="30" w:name="_Toc28445"/>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rPr>
      </w:pPr>
      <w:r>
        <w:rPr>
          <w:rFonts w:hint="eastAsia" w:ascii="宋体" w:hAnsi="宋体" w:eastAsia="宋体" w:cs="宋体"/>
          <w:b/>
          <w:bCs/>
          <w:sz w:val="28"/>
          <w:szCs w:val="28"/>
        </w:rPr>
        <w:t>2.4 项目建设内容、规模及产出</w:t>
      </w:r>
      <w:bookmarkEnd w:id="30"/>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2.4.1 建设原则</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项目定位：获嘉县产业集聚区中小企业创业孵化园源网荷储一体化项目定位为新能源综合开发利用项目。集光伏发电、储能调峰及源网荷储于一体，致力于解决企业用电贵的问题，为较大用电需求的企业提供绿色能源，推动获嘉县生态与经济协同发展。</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设计理念：利用源网荷储一体化的优势在孵化园区内工业厂房屋顶及闲置场地安装光伏发电设备并配备储能设备进行调峰。使有较大用电需求的企业用上绿色、稳定、便宜、可靠的电力能源，从而降低生产经营成本，从而促进双碳战略的发展。</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3、规划思路：通过在孵化园区内建设光伏电站及配套储能所产出的绿色电力能源，根据</w:t>
      </w:r>
      <w:r>
        <w:rPr>
          <w:rFonts w:hint="eastAsia" w:ascii="宋体" w:hAnsi="宋体" w:eastAsia="宋体" w:cs="宋体"/>
          <w:b w:val="false"/>
          <w:bCs w:val="false"/>
          <w:sz w:val="28"/>
          <w:szCs w:val="28"/>
          <w:lang w:val="en-US" w:eastAsia="zh-CN"/>
        </w:rPr>
        <w:t>已项目建设地为核心点半径20公里内有较大用电需求的企业提供绿色新能源电力</w:t>
      </w:r>
      <w:r>
        <w:rPr>
          <w:rFonts w:hint="eastAsia" w:ascii="宋体" w:hAnsi="宋体" w:eastAsia="宋体" w:cs="宋体"/>
          <w:color w:val="auto"/>
          <w:sz w:val="28"/>
          <w:szCs w:val="28"/>
        </w:rPr>
        <w:t>，帮助用电企业降低生产经营成本。</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4、科学发展的原则，体现数字经济与传统产业融合，坚持可持续发展，注重土地集约利用。</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5、高起点、高标准、高效益的原则，启动建设的各项工程一定要服从和服务于总体规划的要求，高起点设计，高标准施工，高效益回报，树精品意识，建样板工程，创一流环境。</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6、效益优先的原则，平台建设要有艰苦奋斗的精神，本着少花钱、多办事、办好事的宗旨，精打细算用好每笔资金，集中投入，重点开发，以最小的投入换取最理想的产出。</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2.4.2 发展目标</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ascii="宋体" w:hAnsi="宋体" w:eastAsia="宋体" w:cs="宋体"/>
          <w:sz w:val="28"/>
        </w:rPr>
        <w:t>1</w:t>
      </w:r>
      <w:r>
        <w:rPr>
          <w:rFonts w:hint="eastAsia" w:ascii="宋体" w:hAnsi="宋体" w:eastAsia="宋体" w:cs="宋体"/>
          <w:snapToGrid/>
          <w:color w:val="auto"/>
          <w:spacing w:val="0"/>
          <w:w w:val="100"/>
          <w:kern w:val="2"/>
          <w:position w:val="0"/>
          <w:sz w:val="28"/>
          <w:szCs w:val="28"/>
          <w:lang w:val="en-US" w:eastAsia="zh-CN" w:bidi="zh-CN"/>
        </w:rPr>
        <w:t>、近期目标（2024-2025）：架设光伏，安装储能</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default"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本项目近期主要完成光伏电站及储能电站的架设安装，为较大用电需求的企业供应绿色电力能源。</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2、远期目标（2026-2036）：形成智能微电网，服务周边</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提高发电量，在满足园区内部中小企业用电的同时，向项目周边中小企业开始蔓延，让周边企业也能够享受绿色的电力能源。</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2.4.3 建设内容、规模和产出方案</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1、建筑工程</w:t>
      </w:r>
    </w:p>
    <w:p>
      <w:pPr>
        <w:snapToGrid/>
        <w:spacing w:before="0" w:after="0" w:line="360" w:lineRule="auto"/>
        <w:ind w:left="0" w:right="0" w:firstLine="560" w:firstLineChars="200"/>
        <w:jc w:val="both"/>
        <w:rPr>
          <w:rFonts w:hint="eastAsia" w:ascii="宋体" w:hAnsi="宋体" w:eastAsia="宋体" w:cs="宋体"/>
          <w:snapToGrid/>
          <w:color w:val="auto"/>
          <w:spacing w:val="0"/>
          <w:w w:val="100"/>
          <w:kern w:val="2"/>
          <w:position w:val="0"/>
          <w:sz w:val="28"/>
          <w:szCs w:val="28"/>
          <w:lang w:val="en-US" w:eastAsia="zh-CN" w:bidi="zh-CN"/>
        </w:rPr>
      </w:pPr>
      <w:r>
        <w:rPr>
          <w:rFonts w:ascii="宋体" w:hAnsi="宋体" w:eastAsia="宋体" w:cs="宋体"/>
          <w:i w:val="false"/>
          <w:strike w:val="false"/>
          <w:spacing w:val="0"/>
          <w:sz w:val="28"/>
          <w:u w:val="none"/>
        </w:rPr>
        <w:t>本项目在园区内工业厂房屋顶部署3000KW的分布式光伏发电系统，并配套建设用户侧储能设施，总规模达到9MW/18MWh。此外，项目还规划安装4个光伏充电桩，并同步实施园区绿化及其他相关配套工程。通过源网荷储一体化方案，本项目将直接将所发绿色电力供给新乡市腾飞纸业有限公司</w:t>
      </w:r>
      <w:r>
        <w:rPr>
          <w:rFonts w:hint="eastAsia" w:ascii="宋体" w:hAnsi="宋体" w:eastAsia="宋体" w:cs="宋体"/>
          <w:snapToGrid/>
          <w:color w:val="auto"/>
          <w:spacing w:val="0"/>
          <w:w w:val="100"/>
          <w:kern w:val="2"/>
          <w:position w:val="0"/>
          <w:sz w:val="28"/>
          <w:szCs w:val="28"/>
          <w:lang w:val="en-US" w:eastAsia="zh-CN" w:bidi="zh-CN"/>
        </w:rPr>
        <w:t>。</w:t>
      </w:r>
    </w:p>
    <w:p>
      <w:pPr>
        <w:keepNext w:val="false"/>
        <w:keepLines w:val="false"/>
        <w:pageBreakBefore w:val="false"/>
        <w:widowControl w:val="false"/>
        <w:pBdr>
          <w:bottom w:val="none" w:color="auto" w:sz="0" w:space="0"/>
        </w:pBdr>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000000"/>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3000KW分布式光伏发电系统屋顶及空闲区域占地面积约21000㎡，其中园区可使用屋顶面积为16583.11㎡，园区内可使用空闲区域面积为5677.13㎡，合计可使用面积为22260.24㎡</w:t>
      </w:r>
      <w:r>
        <w:rPr>
          <w:rFonts w:hint="eastAsia" w:ascii="宋体" w:hAnsi="宋体" w:eastAsia="宋体" w:cs="宋体"/>
          <w:snapToGrid/>
          <w:color w:val="000000"/>
          <w:spacing w:val="0"/>
          <w:w w:val="100"/>
          <w:kern w:val="2"/>
          <w:position w:val="0"/>
          <w:sz w:val="28"/>
          <w:szCs w:val="28"/>
          <w:lang w:val="en-US" w:eastAsia="zh-CN" w:bidi="zh-CN"/>
        </w:rPr>
        <w:t>。</w:t>
      </w:r>
    </w:p>
    <w:tbl>
      <w:tblPr>
        <w:tblStyle w:val="0000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0"/>
        <w:gridCol w:w="2280"/>
        <w:gridCol w:w="2760"/>
        <w:gridCol w:w="2085"/>
      </w:tblGrid>
      <w:tr>
        <w:trPr>
          <w:trHeight w:val="600" w:hRule="atLeast"/>
        </w:trPr>
        <w:tc>
          <w:tcPr>
            <w:tcW w:w="123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序号</w:t>
            </w:r>
          </w:p>
        </w:tc>
        <w:tc>
          <w:tcPr>
            <w:tcW w:w="2280" w:type="dxa"/>
            <w:tcBorders>
              <w:top w:val="single" w:color="000000" w:sz="6"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名称</w:t>
            </w:r>
          </w:p>
        </w:tc>
        <w:tc>
          <w:tcPr>
            <w:tcW w:w="2760" w:type="dxa"/>
            <w:tcBorders>
              <w:top w:val="single" w:color="000000" w:sz="6"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基底面积(m²)</w:t>
            </w:r>
          </w:p>
        </w:tc>
        <w:tc>
          <w:tcPr>
            <w:tcW w:w="2085" w:type="dxa"/>
            <w:tcBorders>
              <w:top w:val="single" w:color="000000" w:sz="6"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总建筑面积(²)</w:t>
            </w:r>
          </w:p>
        </w:tc>
      </w:tr>
      <w:tr>
        <w:trPr>
          <w:trHeight w:val="298" w:hRule="atLeast"/>
        </w:trPr>
        <w:tc>
          <w:tcPr>
            <w:tcW w:w="123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1</w:t>
            </w:r>
          </w:p>
        </w:tc>
        <w:tc>
          <w:tcPr>
            <w:tcW w:w="228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3#门卫</w:t>
            </w:r>
          </w:p>
        </w:tc>
        <w:tc>
          <w:tcPr>
            <w:tcW w:w="276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 xml:space="preserve">44.00 </w:t>
            </w:r>
          </w:p>
        </w:tc>
        <w:tc>
          <w:tcPr>
            <w:tcW w:w="208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 xml:space="preserve">33.69 </w:t>
            </w:r>
          </w:p>
        </w:tc>
      </w:tr>
      <w:tr>
        <w:trPr>
          <w:trHeight w:val="330" w:hRule="atLeast"/>
        </w:trPr>
        <w:tc>
          <w:tcPr>
            <w:tcW w:w="123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2</w:t>
            </w:r>
          </w:p>
        </w:tc>
        <w:tc>
          <w:tcPr>
            <w:tcW w:w="228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4#研发中心</w:t>
            </w:r>
          </w:p>
        </w:tc>
        <w:tc>
          <w:tcPr>
            <w:tcW w:w="276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 xml:space="preserve">  1035.30 </w:t>
            </w:r>
          </w:p>
        </w:tc>
        <w:tc>
          <w:tcPr>
            <w:tcW w:w="208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 xml:space="preserve">4734.17 </w:t>
            </w:r>
          </w:p>
        </w:tc>
      </w:tr>
      <w:tr>
        <w:trPr>
          <w:trHeight w:val="320" w:hRule="atLeast"/>
        </w:trPr>
        <w:tc>
          <w:tcPr>
            <w:tcW w:w="123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3</w:t>
            </w:r>
          </w:p>
        </w:tc>
        <w:tc>
          <w:tcPr>
            <w:tcW w:w="228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7#宿舍楼</w:t>
            </w:r>
          </w:p>
        </w:tc>
        <w:tc>
          <w:tcPr>
            <w:tcW w:w="276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 xml:space="preserve">  1010.52 </w:t>
            </w:r>
          </w:p>
        </w:tc>
        <w:tc>
          <w:tcPr>
            <w:tcW w:w="208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 xml:space="preserve">4084.76 </w:t>
            </w:r>
          </w:p>
        </w:tc>
      </w:tr>
      <w:tr>
        <w:trPr>
          <w:trHeight w:val="320" w:hRule="atLeast"/>
        </w:trPr>
        <w:tc>
          <w:tcPr>
            <w:tcW w:w="123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4</w:t>
            </w:r>
          </w:p>
        </w:tc>
        <w:tc>
          <w:tcPr>
            <w:tcW w:w="228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13#厂房</w:t>
            </w:r>
          </w:p>
        </w:tc>
        <w:tc>
          <w:tcPr>
            <w:tcW w:w="276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 xml:space="preserve">  3052.86 </w:t>
            </w:r>
          </w:p>
        </w:tc>
        <w:tc>
          <w:tcPr>
            <w:tcW w:w="208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 xml:space="preserve">3052.86 </w:t>
            </w:r>
          </w:p>
        </w:tc>
      </w:tr>
      <w:tr>
        <w:trPr>
          <w:trHeight w:val="320" w:hRule="atLeast"/>
        </w:trPr>
        <w:tc>
          <w:tcPr>
            <w:tcW w:w="123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5</w:t>
            </w:r>
          </w:p>
        </w:tc>
        <w:tc>
          <w:tcPr>
            <w:tcW w:w="228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14#冷库</w:t>
            </w:r>
          </w:p>
        </w:tc>
        <w:tc>
          <w:tcPr>
            <w:tcW w:w="276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 xml:space="preserve">  7797.80 </w:t>
            </w:r>
          </w:p>
        </w:tc>
        <w:tc>
          <w:tcPr>
            <w:tcW w:w="208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 xml:space="preserve">21719.72 </w:t>
            </w:r>
          </w:p>
        </w:tc>
      </w:tr>
      <w:tr>
        <w:trPr>
          <w:trHeight w:val="320" w:hRule="atLeast"/>
        </w:trPr>
        <w:tc>
          <w:tcPr>
            <w:tcW w:w="123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6</w:t>
            </w:r>
          </w:p>
        </w:tc>
        <w:tc>
          <w:tcPr>
            <w:tcW w:w="228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15#厂房</w:t>
            </w:r>
          </w:p>
        </w:tc>
        <w:tc>
          <w:tcPr>
            <w:tcW w:w="276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 xml:space="preserve">  3374.75 </w:t>
            </w:r>
          </w:p>
        </w:tc>
        <w:tc>
          <w:tcPr>
            <w:tcW w:w="208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 xml:space="preserve">6749.50 </w:t>
            </w:r>
          </w:p>
        </w:tc>
      </w:tr>
      <w:tr>
        <w:trPr>
          <w:trHeight w:val="320" w:hRule="atLeast"/>
        </w:trPr>
        <w:tc>
          <w:tcPr>
            <w:tcW w:w="123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7</w:t>
            </w:r>
          </w:p>
        </w:tc>
        <w:tc>
          <w:tcPr>
            <w:tcW w:w="228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16#门卫</w:t>
            </w:r>
          </w:p>
        </w:tc>
        <w:tc>
          <w:tcPr>
            <w:tcW w:w="276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 xml:space="preserve">10.80 </w:t>
            </w:r>
          </w:p>
        </w:tc>
        <w:tc>
          <w:tcPr>
            <w:tcW w:w="208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 xml:space="preserve">10.80 </w:t>
            </w:r>
          </w:p>
        </w:tc>
      </w:tr>
      <w:tr>
        <w:trPr>
          <w:trHeight w:val="330" w:hRule="atLeast"/>
        </w:trPr>
        <w:tc>
          <w:tcPr>
            <w:tcW w:w="1230"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8</w:t>
            </w:r>
          </w:p>
        </w:tc>
        <w:tc>
          <w:tcPr>
            <w:tcW w:w="228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17#污水处理</w:t>
            </w:r>
          </w:p>
        </w:tc>
        <w:tc>
          <w:tcPr>
            <w:tcW w:w="276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 xml:space="preserve">257.08 </w:t>
            </w:r>
          </w:p>
        </w:tc>
        <w:tc>
          <w:tcPr>
            <w:tcW w:w="208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 xml:space="preserve">1798.92 </w:t>
            </w:r>
          </w:p>
        </w:tc>
      </w:tr>
      <w:tr>
        <w:trPr>
          <w:trHeight w:val="320" w:hRule="atLeast"/>
        </w:trPr>
        <w:tc>
          <w:tcPr>
            <w:tcW w:w="3510" w:type="dxa"/>
            <w:gridSpan w:val="2"/>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  合计</w:t>
            </w:r>
          </w:p>
        </w:tc>
        <w:tc>
          <w:tcPr>
            <w:tcW w:w="276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16583.11</w:t>
            </w:r>
          </w:p>
        </w:tc>
        <w:tc>
          <w:tcPr>
            <w:tcW w:w="208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 xml:space="preserve">92280.82 </w:t>
            </w:r>
          </w:p>
        </w:tc>
      </w:tr>
      <w:tr>
        <w:trPr>
          <w:trHeight w:val="320" w:hRule="atLeast"/>
        </w:trPr>
        <w:tc>
          <w:tcPr>
            <w:tcW w:w="3510" w:type="dxa"/>
            <w:gridSpan w:val="2"/>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过道、污水处理空地及围墙周边等</w:t>
            </w:r>
          </w:p>
        </w:tc>
        <w:tc>
          <w:tcPr>
            <w:tcW w:w="276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5677.13</w:t>
            </w:r>
          </w:p>
        </w:tc>
        <w:tc>
          <w:tcPr>
            <w:tcW w:w="208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 </w:t>
            </w:r>
          </w:p>
        </w:tc>
      </w:tr>
      <w:tr>
        <w:trPr>
          <w:trHeight w:val="320" w:hRule="atLeast"/>
        </w:trPr>
        <w:tc>
          <w:tcPr>
            <w:tcW w:w="3510" w:type="dxa"/>
            <w:gridSpan w:val="2"/>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共合计</w:t>
            </w:r>
          </w:p>
        </w:tc>
        <w:tc>
          <w:tcPr>
            <w:tcW w:w="276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2"/>
                <w:u w:val="none"/>
                <w:vertAlign w:val="baseline"/>
              </w:rPr>
              <w:t>22260.24</w:t>
            </w:r>
          </w:p>
        </w:tc>
        <w:tc>
          <w:tcPr>
            <w:tcW w:w="208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rPr/>
            </w:pPr>
          </w:p>
        </w:tc>
      </w:tr>
    </w:tbl>
    <w:bookmarkStart w:id="31" w:name="_Toc32718"/>
    <w:bookmarkStart w:id="32" w:name="_Toc15440"/>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rPr>
      </w:pPr>
      <w:r>
        <w:rPr>
          <w:rFonts w:hint="eastAsia" w:ascii="宋体" w:hAnsi="宋体" w:eastAsia="宋体" w:cs="宋体"/>
          <w:b/>
          <w:bCs/>
          <w:sz w:val="28"/>
          <w:szCs w:val="28"/>
        </w:rPr>
        <w:t>2.5 项目商业模式</w:t>
      </w:r>
      <w:bookmarkEnd w:id="31"/>
      <w:bookmarkEnd w:id="32"/>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2.5.1 商业可行性分析</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default"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本项目拥有卓越的商业可行性。基于源网荷储一体化模式，根据项目周边半径 20 公里内单个用电需求较大的企业。依据企业确切的用电规模来铺设光伏发电装置，充分利用当地充沛的太阳能资源，为企业提供清洁电能。而储能利用峰谷电价差，在用电低谷时段，从国网购入低价电储存起来，此时段电价成本优势显著；待企业进入用电高峰，储能装置即时放电，满足企业激增的用电需求，有效平抑高峰用电压力，确保供电稳定不间断。相较于国网高峰电价，项目以更低价格向企业供电，为企业的生产经营成本减负，极大提升企业竞争力，企业自然乐于合作。项目借此稳定的供需关系保障收益，随着运营成熟，成本可控下降，盈利逐步上扬，商业前景一片光明，有望成为区域能源供应的创新典范。</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2.5.2 融资可行性分析</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政策方面，国家层面大力推动能源结构调整与绿色发展，积极鼓励源网荷储一体化建设，为项目指明了方向并营造了宏观政策环境。河南省印发的《河南省加快推进源网荷储一体化实施方案》，明确了项目实施范围、重点任务及保障措施，给予项目清晰的指引和潜在的政策支持。同时，当地政府也可能会出台配套的补贴、税收优惠、专项基金等具体政策，如对新能源发电设施建设给予资金补贴，对项目运营过程中的税费进行减免，设立专门针对源网荷储项目的发展基金等，这些举措将直接降低项目的投资成本与运营风险，增强项目在金融市场的吸引力，使金融机构和投资者基于政策稳定性和优惠力度，更愿意为项目提供融资，提高项目的融资可得性与资金规模。</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现金流方面，直供企业用电需求较大，构成了坚实的现金流基础。项目建成后，通过采用直供的方式向用电企业提供绿色电力输出，结合峰谷电价差利用储能设施套利，以及参与电力辅助服务市场获取收益等多元途径，能够产生稳定、可预测且持续增长的现金流。例如，在用电低谷期储存国网低价电能，高峰期释放高价卖出，额外赚取差价收益；通过为电网提供调频、调压等辅助服务，获得服务费用。这些稳定的收入流为项目偿还融资贷款本息、维持日常运营以及实现盈利提供了可靠保障，向融资方展示了项目良好的财务可持续性和偿债能力，从而提升项目融资的成功率与融资额度。</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需求供给方面，企业对电力的稳定、可靠、优质供应存在刚性需求，而源网荷储一体化项目能够精准匹配这一需求。项目利用清洁能源发电，结合智能电网调配和储能调节，实现电力的稳定生产与灵活供给，有效应对企业生产过程中的电力需求波动，确保电力供应的及时性与适配性。无论是生产高峰期的高电量需求，还是应对突发停电状况的应急供电，项目都能通过自身的源网荷储系统实现高效保障。这种紧密契合的供需关系，使得项目的电力销售具备高度的稳定性与市场竞争力，为融资提供了稳固的商业逻辑支撑，使投资者相信项目的盈利前景，进而愿意为项目建设与运营提供资金支持。</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市场拥有量方面，获嘉县乃至周边地区能源市场正处于快速发展与变革期，对清洁能源及源网荷储一体化项目的需求日益旺盛。随着区域经济发展、产业升级以及环保意识的增强，用电负荷持续攀升，清洁能源的市场接纳度不断提高。本项目不仅能够“一对一”的满足企业的用电需求，还具备向周边区域拓展市场的潜力，通过扩大电力销售范围和服务领域，增加发电设备，提高电量产出，进一步提升项目的收入水平与市场份额。广阔的市场前景预示着项目具备良好的盈利潜力与长期发展空间，在融资过程中能够向投资者充分展示项目的优势与价值，吸引包括银行贷款、产业投资基金、社会资本等多种渠道的资金流入，为项目的全方位发展提供充足的资金保障，有力推动项目落地实施并达成预期的经济、社会与环境效益，助力获嘉县产业集聚区实现绿色低碳转型与可持续发展。</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2.5.3 项目商业模式创新和综合开发情况分析</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ascii="宋体" w:hAnsi="宋体" w:eastAsia="宋体" w:cs="宋体"/>
          <w:i w:val="false"/>
          <w:strike w:val="false"/>
          <w:color w:val="000000"/>
          <w:spacing w:val="0"/>
          <w:sz w:val="28"/>
          <w:u w:val="none"/>
          <w:vertAlign w:val="baseline"/>
        </w:rPr>
      </w:pPr>
      <w:r>
        <w:rPr>
          <w:rFonts w:ascii="宋体" w:hAnsi="宋体" w:eastAsia="宋体" w:cs="宋体"/>
          <w:i w:val="false"/>
          <w:strike w:val="false"/>
          <w:color w:val="000000"/>
          <w:spacing w:val="0"/>
          <w:sz w:val="28"/>
          <w:u w:val="none"/>
          <w:vertAlign w:val="baseline"/>
        </w:rPr>
        <w:t>获嘉县产业集聚区创业孵化园有限公司在源网荷储项目中创新采用合同能源管理模式。获嘉县产业集聚区创业孵化园有限公司负责筹资建设光伏、储能等相关设施，与新乡腾飞纸业有限公司签订合同，在合同期内，通过源网荷储模式为其提供电力。在运营过程中，公司精准监测和分析腾飞纸业的用电数据，利用光伏发电和储能系统的协同运作，满足其用电需求并降低用电成本。</w:t>
      </w:r>
    </w:p>
    <w:p>
      <w:pPr>
        <w:keepNext w:val="false"/>
        <w:keepLines w:val="false"/>
        <w:pageBreakBefore w:val="false"/>
        <w:widowControl w:val="false"/>
        <w:pBdr>
          <w:bottom w:val="none" w:color="auto" w:sz="0" w:space="0"/>
        </w:pBdr>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ascii="宋体" w:hAnsi="宋体" w:eastAsia="宋体" w:cs="宋体"/>
          <w:i w:val="false"/>
          <w:strike w:val="false"/>
          <w:color w:val="000000"/>
          <w:spacing w:val="0"/>
          <w:sz w:val="28"/>
          <w:u w:val="none"/>
          <w:vertAlign w:val="baseline"/>
        </w:rPr>
      </w:pPr>
      <w:r>
        <w:rPr>
          <w:rFonts w:ascii="宋体" w:hAnsi="宋体" w:eastAsia="宋体" w:cs="宋体"/>
          <w:i w:val="false"/>
          <w:strike w:val="false"/>
          <w:color w:val="000000"/>
          <w:spacing w:val="0"/>
          <w:sz w:val="28"/>
          <w:u w:val="none"/>
          <w:vertAlign w:val="baseline"/>
        </w:rPr>
        <w:t>在综合开发层面，项目综合开发采用光伏 + 储能 + 光储充电桩相结合的方式。以光伏发电为基础，将太阳能转化为电能，除直接供给腾飞纸业使用外，还为储能系统充电。储能系统发挥 “削峰填谷” 作用，在电力低谷时储存电能，在高峰时段释放电能，平抑电价波动，保障对腾飞纸业的电力稳定供应，降低其用电成本。光储充电桩的设置则进一步拓展了项目的应用场景，一方面满足了腾飞纸业内部及来访人员的新能源汽车充电需求，另一方面，在充电桩闲置时可将多余电能回馈至电网或供企业使用，提高了能源的综合利用效率。通过这种综合开发方式，形成了一个高效、循环的能源生态系统，不仅保障了企业的能源供应，还拓展了项目的盈利渠道，提升了项目整体的市场竞争力与可持续发展能力。</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2.5.4 招商策略</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z w:val="28"/>
          <w:szCs w:val="28"/>
        </w:rPr>
      </w:pPr>
      <w:r>
        <w:rPr>
          <w:rFonts w:hint="eastAsia" w:ascii="宋体" w:hAnsi="宋体" w:eastAsia="宋体" w:cs="宋体"/>
          <w:snapToGrid/>
          <w:color w:val="auto"/>
          <w:spacing w:val="0"/>
          <w:w w:val="100"/>
          <w:kern w:val="2"/>
          <w:position w:val="0"/>
          <w:sz w:val="28"/>
          <w:szCs w:val="28"/>
          <w:lang w:val="en-US" w:eastAsia="zh-CN" w:bidi="zh-CN"/>
        </w:rPr>
        <w:t>本项目的招商策略围绕绿色电力的销售与推广展开，旨在构建一个稳定且可持续发展的市场体系。我们凭借源网荷储一体化项目所生产的绿色电力，为企业提供清洁、稳定且价格合理的电力解决方案。通过与企业建立紧密的合作关系，深入了解其用电需求和负荷特性，制定个性化的电力供应套餐，优先保障园区内部企业的用电需求，不仅助力其降低用电成本，还能提升企业的绿色形象，增强其市场竞争力。在满足企业用电后，我们将目光投向周边企业，利用项目优越的地理位置和完善的电力输送网络，积极拓展外部市场。针对周边企业的用电特点和需求，开展精准营销，宣传绿色电力的优势和可靠性，通过合理的定价策略和优质的服务，吸引周边企业加入，从而提高电力的利用率和项目的整体收益。同时，我们将不断优化电力生产和供应流程，加强储能设施的管理与调配，确保在不同时段和用电需求下，都能为客户提供高质量的电力供应，逐步树立项目在绿色电力市场中的良好口碑和品牌形象，吸引更多企业参与到我们的绿色电力生态系统中，实现项目与客户的互利共赢和共同发展。</w:t>
      </w:r>
    </w:p>
    <w:p>
      <w:pPr>
        <w:snapToGrid w:val="false"/>
        <w:spacing w:before="0" w:after="0" w:line="240" w:lineRule="auto"/>
        <w:ind w:left="0" w:right="0"/>
        <w:jc w:val="left"/>
        <w:rPr/>
      </w:pPr>
    </w:p>
    <w:p>
      <w:pPr>
        <w:rPr>
          <w:rFonts w:ascii="宋体" w:hAnsi="宋体" w:eastAsia="宋体" w:cs="宋体"/>
          <w:b/>
          <w:i w:val="false"/>
          <w:strike w:val="false"/>
          <w:color w:val="000000"/>
          <w:spacing w:val="0"/>
          <w:sz w:val="36"/>
          <w:u w:val="none"/>
          <w:vertAlign w:val="baseline"/>
        </w:rPr>
      </w:pPr>
      <w:r>
        <w:rPr>
          <w:rFonts w:ascii="宋体" w:hAnsi="宋体" w:eastAsia="宋体" w:cs="宋体"/>
          <w:b/>
          <w:i w:val="false"/>
          <w:strike w:val="false"/>
          <w:color w:val="000000"/>
          <w:spacing w:val="0"/>
          <w:sz w:val="36"/>
          <w:u w:val="none"/>
          <w:vertAlign w:val="baseline"/>
        </w:rPr>
        <w:br w:type="page"/>
      </w:r>
    </w:p>
    <w:bookmarkStart w:id="33" w:name="_Toc2364"/>
    <w:p>
      <w:pPr>
        <w:keepNext w:val="false"/>
        <w:keepLines w:val="false"/>
        <w:pageBreakBefore w:val="false"/>
        <w:widowControl/>
        <w:kinsoku w:val="false"/>
        <w:wordWrap/>
        <w:overflowPunct/>
        <w:topLinePunct w:val="false"/>
        <w:autoSpaceDE w:val="false"/>
        <w:autoSpaceDN w:val="false"/>
        <w:bidi w:val="false"/>
        <w:adjustRightInd/>
        <w:snapToGrid/>
        <w:spacing w:before="0" w:beforeLines="100" w:after="0" w:afterLines="100" w:line="360" w:lineRule="auto"/>
        <w:jc w:val="center"/>
        <w:textAlignment w:val="baseline"/>
        <w:outlineLvl w:val="0"/>
        <w:rPr>
          <w:rFonts w:hint="eastAsia" w:ascii="宋体" w:hAnsi="宋体" w:eastAsia="宋体" w:cs="宋体"/>
          <w:b/>
          <w:bCs/>
          <w:sz w:val="36"/>
          <w:szCs w:val="36"/>
          <w:lang w:val="en-US" w:eastAsia="zh-CN"/>
        </w:rPr>
      </w:pPr>
      <w:r>
        <w:rPr>
          <w:rFonts w:hint="eastAsia" w:ascii="宋体" w:hAnsi="宋体" w:eastAsia="宋体" w:cs="宋体"/>
          <w:b/>
          <w:bCs/>
          <w:sz w:val="36"/>
          <w:szCs w:val="36"/>
          <w:lang w:val="en-US" w:eastAsia="zh-CN"/>
        </w:rPr>
        <w:t>第三章 项目选址与要素保障</w:t>
      </w:r>
      <w:bookmarkEnd w:id="33"/>
    </w:p>
    <w:bookmarkStart w:id="34" w:name="_Toc26467"/>
    <w:bookmarkStart w:id="35" w:name="_Toc8289"/>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rPr>
      </w:pPr>
      <w:r>
        <w:rPr>
          <w:rFonts w:hint="eastAsia" w:ascii="宋体" w:hAnsi="宋体" w:eastAsia="宋体" w:cs="宋体"/>
          <w:b/>
          <w:bCs/>
          <w:sz w:val="28"/>
          <w:szCs w:val="28"/>
        </w:rPr>
        <w:t>3.1 项目地址</w:t>
      </w:r>
      <w:bookmarkEnd w:id="34"/>
      <w:bookmarkEnd w:id="35"/>
    </w:p>
    <w:p>
      <w:pPr>
        <w:keepNext w:val="false"/>
        <w:keepLines w:val="false"/>
        <w:pageBreakBefore w:val="false"/>
        <w:widowControl w:val="false"/>
        <w:pBdr>
          <w:bottom w:val="none" w:color="auto" w:sz="0" w:space="0"/>
        </w:pBdr>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地址位于新乡市获嘉县梧桐路与安王公路交叉口东南角。项目周边规划有完善的给排水、供电、通讯等配套基础设施，能够满足项目建设及运营期的需要。项目在产业园内基本实现了“水、电、路、通讯”四通一平，土地价值升值潜力大。项目区域远离光污染地带、周边500m范围内无强辐射，更无污水处理厂垃圾处理等恶臭场所，项目区地势平坦、阳光充足、自然条件良好，适宜本项目的开发建设。</w:t>
      </w:r>
    </w:p>
    <w:bookmarkStart w:id="36" w:name="_Toc20184"/>
    <w:bookmarkStart w:id="37" w:name="_Toc7467"/>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rPr>
      </w:pPr>
      <w:r>
        <w:rPr>
          <w:rFonts w:hint="eastAsia" w:ascii="宋体" w:hAnsi="宋体" w:eastAsia="宋体" w:cs="宋体"/>
          <w:b/>
          <w:bCs/>
          <w:sz w:val="28"/>
          <w:szCs w:val="28"/>
        </w:rPr>
        <w:t>3.2 项目建设条件</w:t>
      </w:r>
      <w:bookmarkEnd w:id="36"/>
      <w:bookmarkEnd w:id="37"/>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3.2.1 拟建项目所在区域的自然条件</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1、地理位置</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新乡市地处中原腹地，河南省北部，地理坐标为东经113°23′～115°01′，北纬34°53′～35°50′，中心位于北纬35°18′，东经113°54′，南临黄河，与郑州市、开封市隔河相望；北依太行，与鹤壁市、安阳市毗邻；西连太极故里焦作市，与晋东南接壤；东接油城濮阳市与鲁西相连，总面积8249平方公里。</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获嘉县位于河南省新乡市西部，东连新乡县，南接原阳县，西邻武陟县、修武县，北与辉县市隔大沙河相望。获嘉县总面积为473.15平方公里，人口约40万。</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2、地形、地貌</w:t>
      </w:r>
    </w:p>
    <w:p>
      <w:pPr>
        <w:keepNext w:val="false"/>
        <w:keepLines w:val="false"/>
        <w:pageBreakBefore w:val="false"/>
        <w:widowControl w:val="false"/>
        <w:pBdr>
          <w:bottom w:val="none" w:color="auto" w:sz="0" w:space="0"/>
        </w:pBdr>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获嘉县位于河南省北部，新乡市西部，北依太行山，南临黄河，地理位置优越，交通便利。县域面积为473平方公里，地势平坦，南北环山，内居平川，海拔在1356米，平均海拔357米左右，农业区平均海拔58790米左右。获嘉县的地形主要是平原，拥有丰富的农业资源，土壤肥沃，气候适宜，是重要的产粮区，同时也是国家优质粮产业化开发示范县。</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根据《建筑抗震设计规范》（GB50011-2010，2016年版），本工程所在地抗震设防基本烈度为小于6度区，场地抗震设防烈度为6度，设计基本加速度值为0.05g，设计地震分组为第一组。</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4、水文</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获嘉县位于河南省北部，属于暖温带大陆性季风气候，其年均无霜期为221.2天，年均降雨量为557.2毫米。该县地处黄河、海河两大流域，境内有多条河流，包括大狮涝河、共产主义渠、大沙河、西孟姜女河、人民胜利渠和武嘉干渠，均由西南向东北流经获嘉县。此外，“南水北调”中线工程紧邻县境，引黄工程完善，因此水资源相对充沛，获嘉县的地下水埋藏较浅，主要由降水入渗和黄河侧渗补充，当前的埋深一般为4—5米。潜水以蒸发为主要排泄方式，水质优良，矿化度小于1克/升，水化学类型是HCO3—Na9K型。水源主要来自地下水、天然渠、文岩渠及地表径流等。</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5、气象</w:t>
      </w:r>
    </w:p>
    <w:p>
      <w:pPr>
        <w:keepNext w:val="false"/>
        <w:keepLines w:val="false"/>
        <w:pageBreakBefore w:val="false"/>
        <w:widowControl w:val="false"/>
        <w:pBdr>
          <w:bottom w:val="none" w:color="auto" w:sz="0" w:space="0"/>
        </w:pBdr>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获嘉县位于河南省新乡市西部，属于暖温带大陆性季风气候，四季分明，冬寒夏热，秋凉春早，历年平均气温14.6℃，年均无霜期约为221.2天，年均降雨量为557.2毫米，年均降雪日为14.1天，年均日照时数为2058.4小时。7月最热，平均27.3°C；1月最冷，平均0.2°C。从气候条件来看，获嘉县的气候条件有利于农业种植，同时也为居民提供了舒适的生活环境。</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6、地震</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根据《建筑抗震设施规范》(GB50011-2001)划分，该区域为8度地震烈度区，设计基本地震加速度值为0.2g。</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7、工程地质评价及建议</w:t>
      </w:r>
    </w:p>
    <w:p>
      <w:pPr>
        <w:keepNext w:val="false"/>
        <w:keepLines w:val="false"/>
        <w:pageBreakBefore w:val="false"/>
        <w:widowControl w:val="false"/>
        <w:pBdr>
          <w:bottom w:val="none" w:color="auto" w:sz="0" w:space="0"/>
        </w:pBdr>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拟建项目区未发现诸如岩溶、滑坡、崩塌、塌陷、采空区、地面沉降、地裂等不良地质作用；也未发现影响地基稳定性的古河道、沟浜、孤石及其他人工地下设施等对工程有不利影响的埋藏物。拟建项目区域地层分布连续稳定，承载力高，工程地质条件较好，能够满足项目建设要求。</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3.2.2 交通运输条件</w:t>
      </w:r>
    </w:p>
    <w:p>
      <w:pPr>
        <w:keepNext w:val="false"/>
        <w:keepLines w:val="false"/>
        <w:pageBreakBefore w:val="false"/>
        <w:widowControl w:val="false"/>
        <w:pBdr>
          <w:bottom w:val="none" w:color="auto" w:sz="0" w:space="0"/>
        </w:pBdr>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获嘉县位于河南省新乡市西部，地理位置优越，交通便利。境内有京广铁路、新焦铁路、菏宝高速贯通，是晋煤外运、南太行旅游的重要通道。南距郑州国际机场80公里、东距京港澳高速20公里，京广铁路、新焦铁路、菏宝高速贯通全境。</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3.2.3 公用工程条件</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1、给水</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本项目水源为市政自来水，项目区规划周边敷设有市政自来水管网，水量充足，能满足项目用水需要。</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2、排水</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本项目采用雨、污水分流排放。项目区规划周边敷设有市政雨、污水管网，污水经收集后排入化粪池，之后排入市政污水管网。</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3、供电</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区用电涉及二级负荷，为满足二级负荷供电要求，计划从市政的高压站引入二路10KV电源，具体接入点应有上级电力主管部门确定。由建设单位进一步落实，园区内基础设施已布置完成，周边可满足项目的高压电源引入。</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4、燃气</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本项目所需燃气引自市政燃气管网。</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5、通信</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城市通讯电缆由周边现有市政道路引入。</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3.2.4 施工条件及公共服务条件</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1、建筑材料、设备与劳动力供应条件</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工程的建设需要大量的建筑材料，例如钢材、水泥、沥青、碎石、砂、石灰以及各类市政管道等。这些材料在获嘉县供应非常丰富，通过正常的市场采购很容易得到满足。工程施工相关的机械设备均为通用设备，各专业工程均有成熟的施工工艺，相关劳动力的市场供应也非常充足。因此工程实施的物资供应条件比较充分。</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2、燃料和动力供应条件</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项目施工主要机械燃料分为汽油、柴油、以及新能源电力，本项目施工地点在县区周边，施工机械所需燃料在市区附近就能够得到补充。燃料及动力供应条件充足。</w:t>
      </w:r>
    </w:p>
    <w:bookmarkStart w:id="38" w:name="_Toc32047"/>
    <w:bookmarkStart w:id="39" w:name="_Toc28200"/>
    <w:p>
      <w:pPr>
        <w:pStyle w:val="000007"/>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360" w:lineRule="auto"/>
        <w:ind w:left="0" w:right="0"/>
        <w:jc w:val="both"/>
        <w:textAlignment w:val="baseline"/>
        <w:rPr/>
      </w:pPr>
      <w:r>
        <w:rPr>
          <w:rFonts w:ascii="宋体" w:hAnsi="宋体" w:eastAsia="宋体" w:cs="宋体"/>
          <w:b/>
          <w:i w:val="false"/>
          <w:strike w:val="false"/>
          <w:color w:val="000000"/>
          <w:spacing w:val="0"/>
          <w:sz w:val="28"/>
          <w:u w:val="none"/>
          <w:vertAlign w:val="baseline"/>
        </w:rPr>
        <w:t>3.3 要素保障分析</w:t>
      </w:r>
      <w:bookmarkEnd w:id="38"/>
      <w:bookmarkEnd w:id="39"/>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3.3.1 土地要素保障和规划审批</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ascii="宋体" w:hAnsi="宋体" w:eastAsia="宋体" w:cs="宋体"/>
          <w:i w:val="false"/>
          <w:strike w:val="false"/>
          <w:spacing w:val="0"/>
          <w:sz w:val="28"/>
          <w:u w:val="none"/>
        </w:rPr>
        <w:t>本项目将光伏及储能设备安装于已建设的土地上，充分利用现有土地资源，无需额外占用新土地，因此，在土地要素保障方面无需进行额外的审批流程</w:t>
      </w:r>
      <w:r>
        <w:rPr>
          <w:rFonts w:hint="eastAsia" w:ascii="宋体" w:hAnsi="宋体" w:eastAsia="宋体" w:cs="宋体"/>
          <w:snapToGrid/>
          <w:color w:val="auto"/>
          <w:spacing w:val="0"/>
          <w:w w:val="100"/>
          <w:kern w:val="2"/>
          <w:position w:val="0"/>
          <w:sz w:val="28"/>
          <w:szCs w:val="28"/>
          <w:lang w:val="en-US" w:eastAsia="zh-CN" w:bidi="zh-CN"/>
        </w:rPr>
        <w:t>。</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3.3.2 资源环境要素保障</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1、该项目所在地处于县区周边，市政生活用水保障充足。项目运营后所需水资源能够得到保障。</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2、该项目建设涉及少量的施工粉尘，经过施工保护措施，可以基本消除对大气环境的影响。</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3、该项目施工全部在既有建筑土地上进行，不涉及森林、草皮等植被破坏，生态承载能力及其保障条件充分。</w:t>
      </w:r>
    </w:p>
    <w:p>
      <w:pPr>
        <w:keepNext w:val="false"/>
        <w:keepLines w:val="false"/>
        <w:pageBreakBefore w:val="false"/>
        <w:widowControl w:val="false"/>
        <w:pBdr>
          <w:bottom w:val="none" w:color="auto" w:sz="0" w:space="0"/>
        </w:pBdr>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4、该项目运营后由自身光伏供电及国网供电，当地电网供电充足，涉及碳排放强度和污染减排指标控制要求。</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3.3.3 保障指标分析</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位于河南省新乡市获嘉县，项目所处区位交通良好，自然条件优越，区域内的供水、供电、通讯、原材料、人力等各项基础设施完善，为该项目的建设提供了充分保障，项目建于此有很大优势，便于项目的推广和运营。</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故综上所述，该项目的建设条件是可行的。</w:t>
      </w:r>
    </w:p>
    <w:p>
      <w:pPr>
        <w:keepNext w:val="false"/>
        <w:keepLines w:val="false"/>
        <w:pageBreakBefore w:val="false"/>
        <w:widowControl w:val="false"/>
        <w:numPr>
          <w:ilvl w:val="0"/>
          <w:numId w:val="0"/>
        </w:numPr>
        <w:kinsoku/>
        <w:wordWrap/>
        <w:overflowPunct/>
        <w:topLinePunct/>
        <w:autoSpaceDE w:val="false"/>
        <w:autoSpaceDN/>
        <w:bidi w:val="false"/>
        <w:adjustRightInd/>
        <w:snapToGrid/>
        <w:spacing w:before="161" w:beforeLines="50" w:after="161" w:afterLines="50" w:line="360" w:lineRule="auto"/>
        <w:ind w:firstLine="560" w:firstLineChars="200"/>
        <w:jc w:val="both"/>
        <w:textAlignment w:val="baseline"/>
        <w:outlineLvl w:val="9"/>
        <w:rPr>
          <w:rFonts w:hint="eastAsia" w:ascii="宋体" w:hAnsi="宋体" w:eastAsia="宋体" w:cs="宋体"/>
          <w:color w:val="auto"/>
          <w:spacing w:val="0"/>
          <w:w w:val="100"/>
          <w:kern w:val="2"/>
          <w:position w:val="0"/>
          <w:sz w:val="28"/>
          <w:szCs w:val="28"/>
          <w:lang w:val="en-US" w:eastAsia="zh-CN" w:bidi="ar-SA"/>
        </w:rPr>
      </w:pPr>
    </w:p>
    <w:p>
      <w:pPr>
        <w:keepNext w:val="false"/>
        <w:keepLines w:val="false"/>
        <w:pageBreakBefore w:val="false"/>
        <w:widowControl w:val="false"/>
        <w:numPr>
          <w:ilvl w:val="0"/>
          <w:numId w:val="0"/>
        </w:numPr>
        <w:kinsoku/>
        <w:wordWrap/>
        <w:overflowPunct/>
        <w:topLinePunct/>
        <w:autoSpaceDE w:val="false"/>
        <w:autoSpaceDN/>
        <w:bidi w:val="false"/>
        <w:adjustRightInd/>
        <w:snapToGrid/>
        <w:spacing w:before="161" w:beforeLines="50" w:after="161" w:afterLines="50" w:line="360" w:lineRule="auto"/>
        <w:ind w:firstLine="560" w:firstLineChars="200"/>
        <w:jc w:val="both"/>
        <w:textAlignment w:val="baseline"/>
        <w:outlineLvl w:val="9"/>
        <w:rPr>
          <w:rFonts w:hint="eastAsia" w:ascii="宋体" w:hAnsi="宋体" w:eastAsia="宋体" w:cs="宋体"/>
          <w:color w:val="auto"/>
          <w:spacing w:val="0"/>
          <w:w w:val="100"/>
          <w:kern w:val="2"/>
          <w:position w:val="0"/>
          <w:sz w:val="28"/>
          <w:szCs w:val="28"/>
          <w:lang w:val="en-US" w:eastAsia="zh-CN" w:bidi="ar-SA"/>
        </w:rPr>
      </w:pPr>
      <w:r>
        <w:rPr>
          <w:rFonts w:hint="eastAsia" w:ascii="宋体" w:hAnsi="宋体" w:eastAsia="宋体" w:cs="宋体"/>
          <w:color w:val="auto"/>
          <w:spacing w:val="0"/>
          <w:w w:val="100"/>
          <w:kern w:val="2"/>
          <w:position w:val="0"/>
          <w:sz w:val="28"/>
          <w:szCs w:val="28"/>
          <w:lang w:val="en-US" w:eastAsia="zh-CN" w:bidi="ar-SA"/>
        </w:rPr>
        <w:br w:type="page"/>
      </w:r>
    </w:p>
    <w:bookmarkStart w:id="40" w:name="_Toc3039"/>
    <w:bookmarkStart w:id="41" w:name="_Toc17573"/>
    <w:p>
      <w:pPr>
        <w:keepNext w:val="false"/>
        <w:keepLines w:val="false"/>
        <w:pageBreakBefore w:val="false"/>
        <w:widowControl/>
        <w:kinsoku w:val="false"/>
        <w:wordWrap/>
        <w:overflowPunct/>
        <w:topLinePunct w:val="false"/>
        <w:autoSpaceDE w:val="false"/>
        <w:autoSpaceDN w:val="false"/>
        <w:bidi w:val="false"/>
        <w:adjustRightInd/>
        <w:snapToGrid/>
        <w:spacing w:before="0" w:beforeLines="100" w:after="0" w:afterLines="100" w:line="360" w:lineRule="auto"/>
        <w:jc w:val="center"/>
        <w:textAlignment w:val="baseline"/>
        <w:outlineLvl w:val="0"/>
        <w:rPr>
          <w:rFonts w:hint="eastAsia" w:ascii="宋体" w:hAnsi="宋体" w:eastAsia="宋体" w:cs="宋体"/>
          <w:b/>
          <w:bCs/>
          <w:color w:val="000000"/>
          <w:sz w:val="36"/>
          <w:szCs w:val="36"/>
          <w:lang w:val="en-US" w:eastAsia="zh-CN"/>
        </w:rPr>
      </w:pPr>
      <w:r>
        <w:rPr>
          <w:rFonts w:hint="eastAsia" w:ascii="宋体" w:hAnsi="宋体" w:eastAsia="宋体" w:cs="宋体"/>
          <w:b/>
          <w:bCs/>
          <w:color w:val="000000"/>
          <w:sz w:val="36"/>
          <w:szCs w:val="36"/>
          <w:lang w:val="en-US" w:eastAsia="zh-CN"/>
        </w:rPr>
        <w:t>第四章 项目建设方案</w:t>
      </w:r>
      <w:bookmarkEnd w:id="40"/>
      <w:bookmarkEnd w:id="41"/>
    </w:p>
    <w:bookmarkStart w:id="42" w:name="_Toc2467"/>
    <w:bookmarkStart w:id="43" w:name="_Toc14272"/>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rPr>
      </w:pPr>
      <w:r>
        <w:rPr>
          <w:rFonts w:hint="eastAsia" w:ascii="宋体" w:hAnsi="宋体" w:eastAsia="宋体" w:cs="宋体"/>
          <w:b/>
          <w:bCs/>
          <w:sz w:val="28"/>
          <w:szCs w:val="28"/>
        </w:rPr>
        <w:t>4.1 技术方案</w:t>
      </w:r>
      <w:bookmarkEnd w:id="42"/>
      <w:bookmarkEnd w:id="43"/>
    </w:p>
    <w:p>
      <w:pPr>
        <w:keepNext w:val="false"/>
        <w:keepLines w:val="false"/>
        <w:pageBreakBefore w:val="false"/>
        <w:widowControl w:val="false"/>
        <w:pBdr>
          <w:bottom w:val="none" w:color="auto" w:sz="0" w:space="0"/>
        </w:pBdr>
        <w:kinsoku/>
        <w:wordWrap/>
        <w:overflowPunct/>
        <w:topLinePunct/>
        <w:autoSpaceDE w:val="false"/>
        <w:autoSpaceDN/>
        <w:bidi w:val="false"/>
        <w:adjustRightInd/>
        <w:snapToGrid/>
        <w:spacing w:before="157" w:beforeLines="50" w:after="157" w:afterLines="50" w:line="360" w:lineRule="auto"/>
        <w:ind w:left="0" w:right="0" w:firstLine="560" w:firstLineChars="200"/>
        <w:jc w:val="both"/>
        <w:textAlignment w:val="baseline"/>
        <w:rPr>
          <w:rFonts w:ascii="宋体" w:hAnsi="宋体" w:eastAsia="宋体" w:cs="宋体"/>
          <w:i w:val="false"/>
          <w:strike w:val="false"/>
          <w:color w:val="000000"/>
          <w:spacing w:val="0"/>
          <w:sz w:val="28"/>
          <w:u w:val="none"/>
          <w:vertAlign w:val="baseline"/>
        </w:rPr>
      </w:pPr>
      <w:r>
        <w:rPr>
          <w:rFonts w:ascii="宋体" w:hAnsi="宋体" w:eastAsia="宋体" w:cs="宋体"/>
          <w:i w:val="false"/>
          <w:strike w:val="false"/>
          <w:color w:val="000000"/>
          <w:spacing w:val="0"/>
          <w:sz w:val="28"/>
          <w:u w:val="none"/>
          <w:vertAlign w:val="baseline"/>
        </w:rPr>
        <w:t>本项目主要建设内容分布式</w:t>
      </w:r>
      <w:r>
        <w:rPr>
          <w:rFonts w:hint="eastAsia" w:ascii="宋体" w:hAnsi="宋体" w:eastAsia="宋体" w:cs="宋体"/>
          <w:i w:val="false"/>
          <w:strike w:val="false"/>
          <w:color w:val="000000"/>
          <w:spacing w:val="0"/>
          <w:sz w:val="28"/>
          <w:u w:val="none"/>
          <w:vertAlign w:val="baseline"/>
          <w:lang w:val="en-US" w:eastAsia="zh-CN"/>
        </w:rPr>
        <w:t>光伏发电设备及储能设备</w:t>
      </w:r>
      <w:r>
        <w:rPr>
          <w:rFonts w:ascii="宋体" w:hAnsi="宋体" w:eastAsia="宋体" w:cs="宋体"/>
          <w:i w:val="false"/>
          <w:strike w:val="false"/>
          <w:color w:val="000000"/>
          <w:spacing w:val="0"/>
          <w:sz w:val="28"/>
          <w:u w:val="none"/>
          <w:vertAlign w:val="baseline"/>
        </w:rPr>
        <w:t>，项目不涉及生产方法、生产工艺技术。在建设方面，河南省具有实力的且经验丰富的设计单位和施工单位众多，项目建设方面成熟的生产工艺，工艺成熟、可靠性强。</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4.1.1 技术方案的选用原则</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在充分考虑经济条件和管理水平以及生产过程中人流、物流、信息流的合理顺畅，优先选用安全可靠、技术先进、工艺成熟、投资省、占地少、运行费用低、操作管理方便的工艺。</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1、立足企业技术资源优势和企业整体优势。</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2、综合考虑企业的整体发展规划。</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3、突出产品及技术优势，以安全环保为核心进行设计。</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4、优先选择清洁工艺，注重节能节水环保。</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5、符合国家的有关资源、产业政策。</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6、先进技术与合理投资相结合，工艺的先进性与实际应用的可行性相结合。</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7、对于项目生产技术方案的选用，遵循“技术上先进可行，经济上合理有利，综合利用资源”的进步原则，采用先进的集散型控制系统，由计算机统一控制整个生产线的各工艺参数，使产品质量稳定在高水平上，同时可降低物料的消耗。严格按行业规范要求组织生产经营活动，有效控制产品质量，为广大顾客提供优质的产品和良好的服务。</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8、在工艺设备的配置上，依据节能的原则，选用新型节能型设备，根据有利于环境保护的原则，优先选用环境保护型设备，满足该项目所制定的产品方案的要求。</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9、根据该项目的产品方案，所选用的工艺流程能够满足该项目产品的要求，同时，加强员工技术培训，严格质量管理，严格按照工艺流程技术要求进行操作，提高产品合格率。</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10、遵循“高起点、优质量、专业化、经济规模”的建设原则。积极采用新技术、新工艺和高效率专用设备，使用高质量的原辅材料，稳定和提高产品质量，制造高附加值的产品，不断提高企业的市场竞争力。</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11、项目建设贯彻“三同时”的原则，注重环境保护、职业安全卫生、消防及节能等各项措施的落实。</w:t>
      </w:r>
    </w:p>
    <w:bookmarkStart w:id="44" w:name="_Toc12497"/>
    <w:bookmarkStart w:id="45" w:name="_Toc32551"/>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rPr>
      </w:pPr>
      <w:r>
        <w:rPr>
          <w:rFonts w:hint="eastAsia" w:ascii="宋体" w:hAnsi="宋体" w:eastAsia="宋体" w:cs="宋体"/>
          <w:b/>
          <w:bCs/>
          <w:sz w:val="28"/>
          <w:szCs w:val="28"/>
        </w:rPr>
        <w:t>4.2 设备方案</w:t>
      </w:r>
      <w:bookmarkEnd w:id="44"/>
      <w:bookmarkEnd w:id="45"/>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4.2.1 设备配置原则</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设备方案选择依据使用功能确定，应该满足以下基本要求：主要设备方案与拟定建设规模相适应，以最大限度满足项目投产后生产要求；主要设备之间、主要设备与辅助设备之间的能力相互配套；设备质量、性能成熟，以保证生产的稳定性和产品质量；设备选择在保证性能前提下，力求经济合理；选用设备应符合国家和有关部门颁布的相关技术标准要求。</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为适应该项目生产需要，确保产品的质量，增强生产的可操作手段，必须完整配置各种技术装备，该项目设备应选择国内外现有的先进、成熟、可靠的设备，因此，在主设备选型上应遵循以下原则：</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1、主要设备选型的原则应与选择的项目建设规模、产品方案相适应，满足项目的要求，可获得最大效益。</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3、提高连续化、大型化程序，降低劳动强度，提高劳动生产率。</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4、降低原材料、水、电单耗，满足环境保护要求。</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5、强调设备的可靠性、成熟性，保证生产和质量稳定。不允许将不成熟或未经生产考验的设备用于建设方案设计。</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6、符合政府或专门机构发布的技术标准要求。</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7、在满足机械功能和生产过程的条件下，力求经济合理（含用料、制造、操作和维护保养），尽可能立足于国内市场。</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8、主要设备及辅助设备之间应相互配套。</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4.2.2 设计方案与主要设备（含软件）的规格、数量和性能参数等</w:t>
      </w:r>
    </w:p>
    <w:p>
      <w:pPr>
        <w:keepNext w:val="false"/>
        <w:keepLines w:val="false"/>
        <w:pageBreakBefore w:val="false"/>
        <w:widowControl w:val="false"/>
        <w:kinsoku/>
        <w:wordWrap/>
        <w:overflowPunct/>
        <w:topLinePunct w:val="false"/>
        <w:autoSpaceDE/>
        <w:autoSpaceDN/>
        <w:bidi w:val="false"/>
        <w:adjustRightInd/>
        <w:snapToGrid/>
        <w:spacing w:before="157" w:beforeLines="50" w:after="157" w:afterLines="50"/>
        <w:ind w:firstLine="550"/>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1、光伏组件</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光伏组件选型原则光伏组件是可以将光能转化为电能的设备，是光伏系统中的核心组成部分，它的优劣将直接影响到整套光伏系统的效率和运转，本项目使用的光伏组件均采用国内一线品牌A级组件。</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采用晶澳高效单晶550W组件；组件采用应用密排电池技术，组件效率提升至21.3%。应用多主栅（MBB）技术，能够缩短细栅上50%以上的电流传导距离，降低电池的内阻损失。主栅变细变窄减少遮光，有效受光面积更大。圆形焊带折射更多的光照，光学利用率更高。叠加使用切半电池技术，半片电池独特的电路设计可帮助电阻损耗降至全片组件的1/4，输出功率提升2%以上。切半设计降低组件发热量，更低的工作温度能够提升单瓦发电量。同时，切半组件特殊的并串结构，可减少组件纵向排布引发阴影遮挡导致的发电量损失。同时，MBB多主栅技术在高辐照地区具备更高的发电能力。</w:t>
      </w:r>
    </w:p>
    <w:p>
      <w:pPr>
        <w:ind w:firstLine="0" w:firstLineChars="0"/>
        <w:rPr/>
      </w:pPr>
      <w:r>
        <w:rPr/>
        <w:drawing>
          <wp:inline distT="0" distB="0" distL="0" distR="0">
            <wp:extent cx="5340985" cy="6972300"/>
            <wp:effectExtent l="0" t="0" r="8255" b="7620"/>
            <wp:docPr id="8" name="图片 2"/>
            <wp:cNvGraphicFramePr>
              <a:graphicFrameLocks noChangeAspect="true"/>
            </wp:cNvGraphicFramePr>
            <a:graphic>
              <a:graphicData uri="http://schemas.openxmlformats.org/drawingml/2006/picture">
                <pic:pic>
                  <pic:nvPicPr>
                    <pic:cNvPr id="9" name="图片 2"/>
                    <pic:cNvPicPr>
                      <a:picLocks noChangeAspect="true"/>
                    </pic:cNvPicPr>
                  </pic:nvPicPr>
                  <pic:blipFill>
                    <a:blip r:embed="rId9" cstate="print"/>
                    <a:stretch>
                      <a:fillRect/>
                    </a:stretch>
                  </pic:blipFill>
                  <pic:spPr>
                    <a:xfrm>
                      <a:off x="0" y="0"/>
                      <a:ext cx="5340985" cy="6979995"/>
                    </a:xfrm>
                    <a:prstGeom prst="rect">
                      <a:avLst/>
                    </a:prstGeom>
                  </pic:spPr>
                </pic:pic>
              </a:graphicData>
            </a:graphic>
          </wp:inline>
        </w:drawing>
      </w:r>
    </w:p>
    <w:p>
      <w:pPr>
        <w:ind w:firstLine="0" w:firstLineChars="0"/>
        <w:rPr/>
      </w:pPr>
      <w:r>
        <w:rPr/>
        <w:drawing>
          <wp:inline distT="0" distB="0" distL="0" distR="0">
            <wp:extent cx="5269865" cy="7641590"/>
            <wp:effectExtent l="0" t="0" r="3175" b="8890"/>
            <wp:docPr id="11" name="图片 3"/>
            <wp:cNvGraphicFramePr>
              <a:graphicFrameLocks noChangeAspect="true"/>
            </wp:cNvGraphicFramePr>
            <a:graphic>
              <a:graphicData uri="http://schemas.openxmlformats.org/drawingml/2006/picture">
                <pic:pic>
                  <pic:nvPicPr>
                    <pic:cNvPr id="12" name="图片 3"/>
                    <pic:cNvPicPr>
                      <a:picLocks noChangeAspect="true"/>
                    </pic:cNvPicPr>
                  </pic:nvPicPr>
                  <pic:blipFill>
                    <a:blip r:embed="rId10" cstate="print"/>
                    <a:stretch>
                      <a:fillRect/>
                    </a:stretch>
                  </pic:blipFill>
                  <pic:spPr>
                    <a:xfrm>
                      <a:off x="0" y="0"/>
                      <a:ext cx="5269865" cy="7669015"/>
                    </a:xfrm>
                    <a:prstGeom prst="rect">
                      <a:avLst/>
                    </a:prstGeom>
                  </pic:spPr>
                </pic:pic>
              </a:graphicData>
            </a:graphic>
          </wp:inline>
        </w:drawing>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jc w:val="center"/>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图4-1光伏组件参数</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2、逆变器</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光伏并网逆变器是将光伏组件输出的直流电转换为交流电，是光伏发电系统中的关键设备，对于提高光伏系统的效率和可靠性具有举足轻重的作用。光伏并网逆变器的选型主要应考虑以下几个问题：</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性能可靠，效率高：光伏发电系统目前的发电成本较高，如果在发电过程中逆变器自身消耗能量过多或逆变失效，必然导致总发电量的损失和系统经济性下降，因此要求逆变器可靠、效率高，并能根据光伏组件当前的运行状况输出最大功率（MPPT）。</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（2）要求直流输入电压有较宽的适应范围：由于太阳电池的端电压随负载和日照强度而变化，这就要求逆变电源必须在较大的直流输入电压范围内保证正常工作，并保证交流输出电压稳定。</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（3）具有保护功能：并网逆变器还应具有交流过压、欠压保护，超频、欠频保护，高温保护，交流及直流的过流保护，直流过压保护，防孤岛保护等保护功能。</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波形畸变小，功率因数高：当大型光伏发电系统并网运行时，为避免对公共电网的电力污染，要求逆变电源输出正弦波，电流波形必须与外电网一致，波形畸变小于5%，高次谐波含量小于3%，功率因数接近于1。</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（5）监控和数据采集：逆变器应有多种通讯接口进行数据采集并发送到远控室，其控制器还应有模拟输入端口与外部传感器相连，以测量日照和温度等数据，便于整个电站数据处理分析。</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4.2.3 光伏发电系统总体电气技术方案</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光伏发电系统主要由：太阳电池组件、汇流箱、逆变器、10/0.8kV箱变、并网柜等主要元器件组成，光伏组件发出直流电集中至汇流箱，经逆变器转换为交流电，交流电升压至10kV并入电网，供负载使用。</w:t>
      </w:r>
    </w:p>
    <w:p>
      <w:pPr>
        <w:ind w:firstLine="0" w:firstLineChars="0"/>
        <w:rPr/>
      </w:pPr>
      <w:r>
        <w:rPr/>
        <w:drawing>
          <wp:inline distT="0" distB="0" distL="0" distR="0">
            <wp:extent cx="5400675" cy="4464685"/>
            <wp:effectExtent l="0" t="0" r="9525" b="635"/>
            <wp:docPr id="14" name="图片 2"/>
            <wp:cNvGraphicFramePr>
              <a:graphicFrameLocks noChangeAspect="true"/>
            </wp:cNvGraphicFramePr>
            <a:graphic>
              <a:graphicData uri="http://schemas.openxmlformats.org/drawingml/2006/picture">
                <pic:pic>
                  <pic:nvPicPr>
                    <pic:cNvPr id="15" name="图片 2"/>
                    <pic:cNvPicPr>
                      <a:picLocks noChangeAspect="true" noChangeArrowheads="true"/>
                    </pic:cNvPicPr>
                  </pic:nvPicPr>
                  <pic:blipFill>
                    <a:blip r:embed="rId11" cstate="print"/>
                    <a:srcRect l="4508" t="4080" r="4119" b="3803"/>
                    <a:stretch>
                      <a:fillRect/>
                    </a:stretch>
                  </pic:blipFill>
                  <pic:spPr>
                    <a:xfrm>
                      <a:off x="0" y="0"/>
                      <a:ext cx="5400675" cy="4480737"/>
                    </a:xfrm>
                    <a:prstGeom prst="rect">
                      <a:avLst/>
                    </a:prstGeom>
                    <a:noFill/>
                    <a:ln>
                      <a:noFill/>
                    </a:ln>
                  </pic:spPr>
                </pic:pic>
              </a:graphicData>
            </a:graphic>
          </wp:inline>
        </w:drawing>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jc w:val="center"/>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图4-2伏发电系统原理结构图</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4.2.4 系统防雷接地</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（1）太阳能光伏组件与金属屋面及建筑物主体避雷系统做可靠连接，能够有效的将入侵雷电导入大地。</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（2）所有布置的线槽金属外壳与建筑物主体接地系作可靠接地连接，起到有效防雷和削减雷电影响。</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（3）太阳能电池直流侧均采用防雷电涌保护器，起到防雷击保护作用。针对沿直流输入线侵入的感应雷在太阳电池方阵的汇线盒内进行一级防雷保护，安装防雷过电压浪涌保护器，起到保护光伏系统作用。</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（4）逆变器交流输出侧逆变器有防雷、过压、欠压、漏电等各种保护功能，起到防雷击保护作用；同时逆变器交流输出与外部公共电网并接，外部公共电网的防雷系统起到有效地保护。</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4.2.5 光伏发电系统配置清单</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规划装机容量3000KW，该系统具体配置清单如下：</w:t>
      </w:r>
    </w:p>
    <w:p>
      <w:pPr>
        <w:keepNext w:val="false"/>
        <w:keepLines w:val="false"/>
        <w:pageBreakBefore w:val="false"/>
        <w:widowControl w:val="false"/>
        <w:kinsoku/>
        <w:wordWrap/>
        <w:overflowPunct/>
        <w:topLinePunct w:val="false"/>
        <w:autoSpaceDE/>
        <w:autoSpaceDN/>
        <w:bidi w:val="false"/>
        <w:adjustRightInd/>
        <w:snapToGrid/>
        <w:spacing w:before="157" w:beforeLines="50" w:after="157" w:afterLines="50"/>
        <w:ind w:left="0" w:leftChars="0" w:firstLine="0" w:firstLineChars="0"/>
        <w:textAlignment w:val="auto"/>
        <w:rPr>
          <w:rFonts w:hint="eastAsia" w:ascii="宋体" w:hAnsi="宋体" w:eastAsia="宋体" w:cs="宋体"/>
          <w:b/>
          <w:bCs w:val="false"/>
          <w:i w:val="false"/>
          <w:iCs w:val="false"/>
          <w:caps w:val="false"/>
          <w:smallCaps w:val="false"/>
          <w:strike w:val="false"/>
          <w:dstrike w:val="false"/>
          <w:vanish w:val="false"/>
          <w:color w:val="auto"/>
          <w:spacing w:val="0"/>
          <w:kern w:val="0"/>
          <w:position w:val="0"/>
          <w:sz w:val="28"/>
          <w:szCs w:val="28"/>
          <w:u w:val="none"/>
          <w:vertAlign w:val="baseline"/>
          <w:lang w:val="en-US" w:eastAsia="zh-CN" w:bidi="ar-SA"/>
        </w:rPr>
      </w:pPr>
      <w:r>
        <w:rPr>
          <w:rFonts w:hint="eastAsia" w:ascii="宋体" w:hAnsi="宋体" w:eastAsia="宋体" w:cs="宋体"/>
          <w:b/>
          <w:bCs/>
          <w:sz w:val="28"/>
          <w:szCs w:val="28"/>
          <w:lang w:val="en-US" w:eastAsia="zh-CN"/>
        </w:rPr>
        <w:drawing>
          <wp:inline distT="0" distB="0" distL="0" distR="0">
            <wp:extent cx="5276850" cy="4642485"/>
            <wp:effectExtent l="0" t="0" r="0" b="0"/>
            <wp:docPr id="17" name="picture" descr="descript"/>
            <wp:cNvGraphicFramePr/>
            <a:graphic>
              <a:graphicData uri="http://schemas.openxmlformats.org/drawingml/2006/picture">
                <pic:pic>
                  <pic:nvPicPr>
                    <pic:cNvPr id="18" name="picture" descr="descript"/>
                    <pic:cNvPicPr/>
                  </pic:nvPicPr>
                  <pic:blipFill>
                    <a:blip r:embed="rId12"/>
                    <a:srcRect/>
                    <a:stretch>
                      <a:fillRect/>
                    </a:stretch>
                  </pic:blipFill>
                  <pic:spPr>
                    <a:xfrm>
                      <a:off x="0" y="0"/>
                      <a:ext cx="5276850" cy="4642877"/>
                    </a:xfrm>
                    <a:prstGeom prst="rect">
                      <a:avLst/>
                    </a:prstGeom>
                  </pic:spPr>
                </pic:pic>
              </a:graphicData>
            </a:graphic>
          </wp:inline>
        </w:drawing>
      </w:r>
      <w:r>
        <w:rPr>
          <w:rFonts w:hint="eastAsia" w:ascii="宋体" w:hAnsi="宋体" w:eastAsia="宋体" w:cs="宋体"/>
          <w:b/>
          <w:bCs/>
          <w:sz w:val="28"/>
          <w:szCs w:val="28"/>
          <w:lang w:val="en-US" w:eastAsia="zh-CN"/>
        </w:rPr>
        <w:t>4.2.6 光伏支架设计</w:t>
      </w:r>
    </w:p>
    <w:bookmarkStart w:id="46" w:name="OLE_LINK147"/>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光伏导轨设计依据《光伏发电站设计规范》GB50797-2012进行设计，风荷载、雪荷载和温度荷载按现行国家标准《建筑结构荷载规范》GB50009中25年一遇的荷载数值取值。支架风荷载体型系数取1.3。屋面光伏电站不考虑地震作用，位移计算采用各荷载分项系数均应取为1.0；承载力计算时，荷载分项系数按下表采用。</w:t>
      </w:r>
    </w:p>
    <w:p>
      <w:pPr>
        <w:ind w:left="0" w:leftChars="0" w:firstLine="0" w:firstLineChars="0"/>
        <w:rPr/>
      </w:pPr>
      <w:r>
        <w:rPr/>
        <w:drawing>
          <wp:inline distT="0" distB="0" distL="0" distR="0">
            <wp:extent cx="5429250" cy="1562100"/>
            <wp:effectExtent l="0" t="0" r="11430" b="7620"/>
            <wp:docPr id="20" name="图片 17"/>
            <wp:cNvGraphicFramePr>
              <a:graphicFrameLocks noChangeAspect="true"/>
            </wp:cNvGraphicFramePr>
            <a:graphic>
              <a:graphicData uri="http://schemas.openxmlformats.org/drawingml/2006/picture">
                <pic:pic>
                  <pic:nvPicPr>
                    <pic:cNvPr id="21" name="图片 17"/>
                    <pic:cNvPicPr>
                      <a:picLocks noChangeAspect="true" noChangeArrowheads="true"/>
                    </pic:cNvPicPr>
                  </pic:nvPicPr>
                  <pic:blipFill>
                    <a:blip r:embed="rId13" cstate="print"/>
                    <a:srcRect/>
                    <a:stretch>
                      <a:fillRect/>
                    </a:stretch>
                  </pic:blipFill>
                  <pic:spPr>
                    <a:xfrm>
                      <a:off x="0" y="0"/>
                      <a:ext cx="5429250" cy="1562100"/>
                    </a:xfrm>
                    <a:prstGeom prst="rect">
                      <a:avLst/>
                    </a:prstGeom>
                    <a:noFill/>
                    <a:ln w="9525" cmpd="sng">
                      <a:noFill/>
                      <a:miter lim="800000"/>
                      <a:headEnd/>
                      <a:tailEnd/>
                    </a:ln>
                  </pic:spPr>
                </pic:pic>
              </a:graphicData>
            </a:graphic>
          </wp:inline>
        </w:drawing>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设计时采用25年一遇平均最大风速作为计算依据，确保支架系统安全、稳定。支架设计时考虑恒载0.5kN/㎡(组件不同，重量不同)，雪荷载0.52kN/㎡。支架受力设计的主要影响因素为风荷载，在各种荷载组合下，支架应满足规范对强度、刚度、稳定等各项指标要求。本工程设计风荷载取自当地气象资料中的多年最大风速换算风压与建筑结构荷载规范中地区基本风压的较大值。风速与风压关系式为Wk=S²/1600。</w:t>
      </w:r>
      <w:bookmarkEnd w:id="46"/>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电池板组件支撑系统安装施工固定支架结构形式为：将导轨固定彩钢瓦上，将组件通过压块固定在导轨上。</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支架安装示意图如下所示：</w:t>
      </w:r>
    </w:p>
    <w:p>
      <w:pPr>
        <w:pStyle w:val="00000c"/>
        <w:ind w:left="0" w:leftChars="0" w:firstLine="0" w:firstLineChars="0"/>
        <w:jc w:val="center"/>
        <w:rPr/>
      </w:pPr>
      <w:r>
        <w:rPr>
          <w:kern w:val="0"/>
        </w:rPr>
        <w:drawing>
          <wp:inline distT="0" distB="0" distL="0" distR="0">
            <wp:extent cx="5457825" cy="2438400"/>
            <wp:effectExtent l="0" t="0" r="13335" b="0"/>
            <wp:docPr id="23" name="图片 38" descr="说明: F:\胡高志\其他\国强和新扬子\新扬子照片\新扬子项目施工照片\20141024IMG_20141024_143624.jpg"/>
            <wp:cNvGraphicFramePr>
              <a:graphicFrameLocks noChangeAspect="true"/>
            </wp:cNvGraphicFramePr>
            <a:graphic>
              <a:graphicData uri="http://schemas.openxmlformats.org/drawingml/2006/picture">
                <pic:pic>
                  <pic:nvPicPr>
                    <pic:cNvPr id="24" name="图片 38" descr="说明: F:\胡高志\其他\国强和新扬子\新扬子照片\新扬子项目施工照片\20141024IMG_20141024_143624.jpg"/>
                    <pic:cNvPicPr>
                      <a:picLocks noChangeAspect="true" noChangeArrowheads="true"/>
                    </pic:cNvPicPr>
                  </pic:nvPicPr>
                  <pic:blipFill>
                    <a:blip r:embed="rId14" cstate="print"/>
                    <a:srcRect t="7372"/>
                    <a:stretch>
                      <a:fillRect/>
                    </a:stretch>
                  </pic:blipFill>
                  <pic:spPr>
                    <a:xfrm>
                      <a:off x="0" y="0"/>
                      <a:ext cx="5457825" cy="2438400"/>
                    </a:xfrm>
                    <a:prstGeom prst="rect">
                      <a:avLst/>
                    </a:prstGeom>
                    <a:noFill/>
                    <a:ln w="9525" cmpd="sng">
                      <a:noFill/>
                      <a:miter lim="800000"/>
                      <a:headEnd/>
                      <a:tailEnd/>
                    </a:ln>
                    <a:effectLst/>
                  </pic:spPr>
                </pic:pic>
              </a:graphicData>
            </a:graphic>
          </wp:inline>
        </w:drawing>
      </w:r>
    </w:p>
    <w:p>
      <w:pPr>
        <w:autoSpaceDE w:val="false"/>
        <w:autoSpaceDN w:val="false"/>
        <w:adjustRightInd w:val="false"/>
        <w:ind w:left="0" w:leftChars="0" w:firstLine="0" w:firstLineChars="0"/>
        <w:jc w:val="center"/>
        <w:rPr>
          <w:kern w:val="0"/>
          <w:sz w:val="24"/>
          <w:szCs w:val="24"/>
        </w:rPr>
      </w:pPr>
      <w:r>
        <w:rPr>
          <w:rFonts w:hint="eastAsia"/>
          <w:kern w:val="0"/>
          <w:sz w:val="24"/>
          <w:szCs w:val="24"/>
        </w:rPr>
        <w:drawing>
          <wp:inline distT="0" distB="0" distL="0" distR="0">
            <wp:extent cx="5514975" cy="3429000"/>
            <wp:effectExtent l="0" t="0" r="1905" b="0"/>
            <wp:docPr id="26" name="图片 35" descr="3f955fae02b5dd92c794a23cec89e73"/>
            <wp:cNvGraphicFramePr>
              <a:graphicFrameLocks noChangeAspect="true"/>
            </wp:cNvGraphicFramePr>
            <a:graphic>
              <a:graphicData uri="http://schemas.openxmlformats.org/drawingml/2006/picture">
                <pic:pic>
                  <pic:nvPicPr>
                    <pic:cNvPr id="27" name="图片 35" descr="3f955fae02b5dd92c794a23cec89e73"/>
                    <pic:cNvPicPr>
                      <a:picLocks noChangeAspect="true" noChangeArrowheads="true"/>
                    </pic:cNvPicPr>
                  </pic:nvPicPr>
                  <pic:blipFill>
                    <a:blip r:embed="rId15" cstate="print"/>
                    <a:srcRect/>
                    <a:stretch>
                      <a:fillRect/>
                    </a:stretch>
                  </pic:blipFill>
                  <pic:spPr>
                    <a:xfrm>
                      <a:off x="0" y="0"/>
                      <a:ext cx="5514975" cy="3429000"/>
                    </a:xfrm>
                    <a:prstGeom prst="rect">
                      <a:avLst/>
                    </a:prstGeom>
                    <a:noFill/>
                    <a:ln w="9525" cmpd="sng">
                      <a:noFill/>
                      <a:miter lim="800000"/>
                      <a:headEnd/>
                      <a:tailEnd/>
                    </a:ln>
                  </pic:spPr>
                </pic:pic>
              </a:graphicData>
            </a:graphic>
          </wp:inline>
        </w:drawing>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jc w:val="center"/>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以上是安装后的效果图</w:t>
      </w:r>
    </w:p>
    <w:bookmarkStart w:id="47" w:name="_Toc10826"/>
    <w:bookmarkStart w:id="48" w:name="_Toc30608"/>
    <w:bookmarkStart w:id="49" w:name="_Toc21934"/>
    <w:bookmarkStart w:id="50" w:name="_Toc3899"/>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4.3 储能系统配置方案</w:t>
      </w:r>
      <w:bookmarkEnd w:id="47"/>
      <w:bookmarkEnd w:id="48"/>
      <w:bookmarkEnd w:id="49"/>
      <w:bookmarkEnd w:id="50"/>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4.3.1 设计方案</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规划在园区内设置变电站一座，项目总体容量为9MW/18MWh，由9个1.00MW/2.00MWh独立集装箱式储能单元构成。</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同时配套提升园区绿化景观及增加充电桩工程。</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该储能方案采用CATL280AH磷酸铁锂储能电池，具有“能量密度高，循环寿命长，系统设计高度集成化”的出色储能效益，其系统内部集成储能电池、BMS、温控、消防和照明等子系统，并集成在一个40尺的标准预制舱中。</w:t>
      </w:r>
    </w:p>
    <w:p>
      <w:pPr>
        <w:ind w:left="0" w:leftChars="0" w:firstLine="0" w:firstLineChars="0"/>
        <w:jc w:val="center"/>
        <w:rPr>
          <w:rFonts w:ascii="宋体" w:hAnsi="宋体"/>
        </w:rPr>
      </w:pPr>
      <w:r>
        <w:rPr>
          <w:rFonts w:ascii="宋体" w:hAnsi="宋体"/>
        </w:rPr>
        <w:drawing>
          <wp:inline distT="0" distB="0" distL="0" distR="0">
            <wp:extent cx="5288280" cy="3667760"/>
            <wp:effectExtent l="0" t="0" r="0" b="5080"/>
            <wp:docPr id="29" name="图片 3" descr="C:\Users\Administrator\Documents\WeChat Files\wxid_6xj7tm83ftvi21\FileStorage\Temp\1684392748248.png"/>
            <wp:cNvGraphicFramePr>
              <a:graphicFrameLocks noChangeAspect="true"/>
            </wp:cNvGraphicFramePr>
            <a:graphic>
              <a:graphicData uri="http://schemas.openxmlformats.org/drawingml/2006/picture">
                <pic:pic>
                  <pic:nvPicPr>
                    <pic:cNvPr id="30" name="图片 3" descr="C:\Users\Administrator\Documents\WeChat Files\wxid_6xj7tm83ftvi21\FileStorage\Temp\1684392748248.png"/>
                    <pic:cNvPicPr>
                      <a:picLocks noChangeAspect="true" noChangeArrowheads="true"/>
                    </pic:cNvPicPr>
                  </pic:nvPicPr>
                  <pic:blipFill>
                    <a:blip r:embed="rId16" cstate="print"/>
                    <a:srcRect/>
                    <a:stretch>
                      <a:fillRect/>
                    </a:stretch>
                  </pic:blipFill>
                  <pic:spPr>
                    <a:xfrm>
                      <a:off x="0" y="0"/>
                      <a:ext cx="5288865" cy="3668233"/>
                    </a:xfrm>
                    <a:prstGeom prst="rect">
                      <a:avLst/>
                    </a:prstGeom>
                    <a:noFill/>
                    <a:ln w="9525">
                      <a:noFill/>
                      <a:miter lim="800000"/>
                      <a:headEnd/>
                      <a:tailEnd/>
                    </a:ln>
                  </pic:spPr>
                </pic:pic>
              </a:graphicData>
            </a:graphic>
          </wp:inline>
        </w:drawing>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4.3.2 电池集装箱组成</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集装箱采用内维护方式，分为电池和PCS两个舱室放置，整个储能系统容量为</w:t>
      </w:r>
      <w:r>
        <w:rPr>
          <w:rFonts w:ascii="宋体" w:hAnsi="宋体" w:eastAsia="宋体" w:cs="宋体"/>
          <w:i w:val="false"/>
          <w:strike w:val="false"/>
          <w:spacing w:val="0"/>
          <w:sz w:val="28"/>
          <w:u w:val="none"/>
        </w:rPr>
        <w:t>2000KWH</w:t>
      </w:r>
      <w:r>
        <w:rPr>
          <w:rFonts w:hint="eastAsia" w:ascii="宋体" w:hAnsi="宋体" w:eastAsia="宋体" w:cs="宋体"/>
          <w:snapToGrid/>
          <w:color w:val="auto"/>
          <w:spacing w:val="0"/>
          <w:w w:val="100"/>
          <w:kern w:val="2"/>
          <w:position w:val="0"/>
          <w:sz w:val="28"/>
          <w:szCs w:val="28"/>
          <w:lang w:val="en-US" w:eastAsia="zh-CN" w:bidi="zh-CN"/>
        </w:rPr>
        <w:t>，共有10个电池簇单元，包含电池模组、高压控制盒、电池架、BMS、及高低压连接线束等放置于集装箱内。其中，电池组采用模块化设计，每个电池组为1P16S。每个电池组配置一个电池管理单元（BMU），对单体电池的电压、温度等参数进行检测；每一个电池簇由15个电池模组串联组成，共1P240S，单个电池系统由10个电池簇并联组成，共10P240S。</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4.3.3 集装箱消防方案</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电池箱内采取了一套手自动一体消防系统。该消防系统由火灾报警控制器/气体灭火控制盘、复合型气体探测器、声光报警器、警铃、放气指示灯、手动紧急启/停按钮、业务箱灭火装置（含灭火剂储存瓶、电磁驱动装置、压力信号器）、业务箱配套件（喷头、高压软管）、供电箱灭火装置（含灭火剂储存瓶、电磁驱动装置、压力信号器）组成。</w:t>
      </w:r>
    </w:p>
    <w:p>
      <w:pPr>
        <w:ind w:firstLine="550"/>
        <w:jc w:val="center"/>
        <w:rPr>
          <w:spacing w:val="-3"/>
        </w:rPr>
      </w:pPr>
      <w:r>
        <w:rPr>
          <w:spacing w:val="-3"/>
        </w:rPr>
        <w:drawing>
          <wp:inline distT="0" distB="0" distL="0" distR="0">
            <wp:extent cx="4086225" cy="5465445"/>
            <wp:effectExtent l="0" t="0" r="13335" b="5715"/>
            <wp:docPr id="32" name="图片 5" descr="C:\Users\Administrator\Documents\WeChat Files\wxid_6xj7tm83ftvi21\FileStorage\Temp\1684393210985.png"/>
            <wp:cNvGraphicFramePr>
              <a:graphicFrameLocks noChangeAspect="true"/>
            </wp:cNvGraphicFramePr>
            <a:graphic>
              <a:graphicData uri="http://schemas.openxmlformats.org/drawingml/2006/picture">
                <pic:pic>
                  <pic:nvPicPr>
                    <pic:cNvPr id="33" name="图片 5" descr="C:\Users\Administrator\Documents\WeChat Files\wxid_6xj7tm83ftvi21\FileStorage\Temp\1684393210985.png"/>
                    <pic:cNvPicPr>
                      <a:picLocks noChangeAspect="true" noChangeArrowheads="true"/>
                    </pic:cNvPicPr>
                  </pic:nvPicPr>
                  <pic:blipFill>
                    <a:blip r:embed="rId17" cstate="print"/>
                    <a:srcRect/>
                    <a:stretch>
                      <a:fillRect/>
                    </a:stretch>
                  </pic:blipFill>
                  <pic:spPr>
                    <a:xfrm>
                      <a:off x="0" y="0"/>
                      <a:ext cx="4088029" cy="5468402"/>
                    </a:xfrm>
                    <a:prstGeom prst="rect">
                      <a:avLst/>
                    </a:prstGeom>
                    <a:noFill/>
                    <a:ln w="9525">
                      <a:noFill/>
                      <a:miter lim="800000"/>
                      <a:headEnd/>
                      <a:tailEnd/>
                    </a:ln>
                  </pic:spPr>
                </pic:pic>
              </a:graphicData>
            </a:graphic>
          </wp:inline>
        </w:drawing>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4.3.4 BMS系统概述</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电池管理系统主要由总控单元（三级架构）（BAU）、主控单元（BCU）、从控单元（BMU）以及相应的线束组成，系统具有功能覆盖广，体积小，抗干扰性能强，安全可靠等特点。</w:t>
      </w:r>
    </w:p>
    <w:p>
      <w:pPr>
        <w:ind w:firstLine="0" w:firstLineChars="0"/>
        <w:jc w:val="center"/>
        <w:rPr/>
      </w:pPr>
      <w:r>
        <w:rPr/>
        <w:drawing>
          <wp:inline distT="0" distB="0" distL="0" distR="0">
            <wp:extent cx="4413250" cy="2846705"/>
            <wp:effectExtent l="0" t="0" r="6350" b="3175"/>
            <wp:docPr id="35" name="图片 4" descr="C:\Users\Administrator\Documents\WeChat Files\wxid_6xj7tm83ftvi21\FileStorage\Temp\1684393137472.png"/>
            <wp:cNvGraphicFramePr>
              <a:graphicFrameLocks noChangeAspect="true"/>
            </wp:cNvGraphicFramePr>
            <a:graphic>
              <a:graphicData uri="http://schemas.openxmlformats.org/drawingml/2006/picture">
                <pic:pic>
                  <pic:nvPicPr>
                    <pic:cNvPr id="36" name="图片 4" descr="C:\Users\Administrator\Documents\WeChat Files\wxid_6xj7tm83ftvi21\FileStorage\Temp\1684393137472.png"/>
                    <pic:cNvPicPr>
                      <a:picLocks noChangeAspect="true" noChangeArrowheads="true"/>
                    </pic:cNvPicPr>
                  </pic:nvPicPr>
                  <pic:blipFill>
                    <a:blip r:embed="rId18" cstate="print"/>
                    <a:srcRect/>
                    <a:stretch>
                      <a:fillRect/>
                    </a:stretch>
                  </pic:blipFill>
                  <pic:spPr>
                    <a:xfrm>
                      <a:off x="0" y="0"/>
                      <a:ext cx="4436086" cy="2862026"/>
                    </a:xfrm>
                    <a:prstGeom prst="rect">
                      <a:avLst/>
                    </a:prstGeom>
                    <a:noFill/>
                    <a:ln w="9525">
                      <a:noFill/>
                      <a:miter lim="800000"/>
                      <a:headEnd/>
                      <a:tailEnd/>
                    </a:ln>
                  </pic:spPr>
                </pic:pic>
              </a:graphicData>
            </a:graphic>
          </wp:inline>
        </w:drawing>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4.3.5 EMS系统</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能量管理系统是储能电站的重要组成部分，它为微电网调度控制中心提供数据管理、监视、控制和优化，保障储能系统的稳定高效运行。能量管理系统为储能系统内部每个能源控制器提供功率和电压设定点；确保满足系统中热负荷、电负荷需求；确保系统满足与主网系统间的运行协议；尽可能使能源消耗与系统损耗最小；提供系统故障情况下孤岛运行与重合闸的逻辑与控制方法等。</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本储能系统中，EMS通讯拓扑分为三层结构：云监控、本地监控、协调控制；底层设备：1台500KW储能变流器、电池管理系统（BMS）、环境监测设备、消防系统、空调或门禁系统等均接入监控系统。</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云监控：WEB展示、手机APP展示、报表数据分析、电池数据全景分析。</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本地监控：本地展示、控制策略、自动逻辑、自动手动控制、历史数据报表、视频接入。</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现场控制：通讯接入PCS、BMS、消防、空调控制，关键设备保护。</w:t>
      </w:r>
    </w:p>
    <w:p>
      <w:pPr>
        <w:ind w:left="0" w:leftChars="0" w:firstLine="0" w:firstLineChars="0"/>
        <w:jc w:val="center"/>
        <w:rPr/>
      </w:pPr>
      <w:r>
        <w:rPr/>
        <w:drawing>
          <wp:inline distT="0" distB="0" distL="0" distR="0">
            <wp:extent cx="4819650" cy="2595880"/>
            <wp:effectExtent l="0" t="0" r="11430" b="10160"/>
            <wp:docPr id="38" name="图片 6" descr="C:\Users\Administrator\Documents\WeChat Files\wxid_6xj7tm83ftvi21\FileStorage\Temp\1684393292552(1).png"/>
            <wp:cNvGraphicFramePr>
              <a:graphicFrameLocks noChangeAspect="true"/>
            </wp:cNvGraphicFramePr>
            <a:graphic>
              <a:graphicData uri="http://schemas.openxmlformats.org/drawingml/2006/picture">
                <pic:pic>
                  <pic:nvPicPr>
                    <pic:cNvPr id="39" name="图片 6" descr="C:\Users\Administrator\Documents\WeChat Files\wxid_6xj7tm83ftvi21\FileStorage\Temp\1684393292552(1).png"/>
                    <pic:cNvPicPr>
                      <a:picLocks noChangeAspect="true" noChangeArrowheads="true"/>
                    </pic:cNvPicPr>
                  </pic:nvPicPr>
                  <pic:blipFill>
                    <a:blip r:embed="rId19" cstate="print"/>
                    <a:srcRect r="6523"/>
                    <a:stretch>
                      <a:fillRect/>
                    </a:stretch>
                  </pic:blipFill>
                  <pic:spPr>
                    <a:xfrm>
                      <a:off x="0" y="0"/>
                      <a:ext cx="4839663" cy="2606898"/>
                    </a:xfrm>
                    <a:prstGeom prst="rect">
                      <a:avLst/>
                    </a:prstGeom>
                    <a:noFill/>
                    <a:ln w="9525">
                      <a:noFill/>
                      <a:miter lim="800000"/>
                      <a:headEnd/>
                      <a:tailEnd/>
                    </a:ln>
                  </pic:spPr>
                </pic:pic>
              </a:graphicData>
            </a:graphic>
          </wp:inline>
        </w:drawing>
      </w:r>
    </w:p>
    <w:bookmarkStart w:id="51" w:name="_Toc17748"/>
    <w:bookmarkStart w:id="52" w:name="_Toc20518"/>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4.3.6 光伏储能系统一次单线图</w:t>
      </w:r>
      <w:bookmarkEnd w:id="51"/>
      <w:bookmarkEnd w:id="52"/>
    </w:p>
    <w:p>
      <w:pPr>
        <w:ind w:firstLine="0" w:firstLineChars="0"/>
        <w:jc w:val="center"/>
        <w:rPr/>
      </w:pPr>
      <w:r>
        <w:rPr/>
        <w:drawing>
          <wp:inline distT="0" distB="0" distL="0" distR="0">
            <wp:extent cx="5392420" cy="4244340"/>
            <wp:effectExtent l="0" t="0" r="2540" b="7620"/>
            <wp:docPr id="41" name="图片 5"/>
            <wp:cNvGraphicFramePr>
              <a:graphicFrameLocks noChangeAspect="true"/>
            </wp:cNvGraphicFramePr>
            <a:graphic>
              <a:graphicData uri="http://schemas.openxmlformats.org/drawingml/2006/picture">
                <pic:pic>
                  <pic:nvPicPr>
                    <pic:cNvPr id="42" name="图片 5"/>
                    <pic:cNvPicPr>
                      <a:picLocks noChangeAspect="true" noChangeArrowheads="true"/>
                    </pic:cNvPicPr>
                  </pic:nvPicPr>
                  <pic:blipFill>
                    <a:blip r:embed="rId20" cstate="print"/>
                    <a:srcRect l="7313" t="17314" r="2451" b="4699"/>
                    <a:stretch>
                      <a:fillRect/>
                    </a:stretch>
                  </pic:blipFill>
                  <pic:spPr>
                    <a:xfrm>
                      <a:off x="0" y="0"/>
                      <a:ext cx="5392420" cy="4244340"/>
                    </a:xfrm>
                    <a:prstGeom prst="rect">
                      <a:avLst/>
                    </a:prstGeom>
                    <a:noFill/>
                    <a:ln>
                      <a:noFill/>
                    </a:ln>
                  </pic:spPr>
                </pic:pic>
              </a:graphicData>
            </a:graphic>
          </wp:inline>
        </w:drawing>
      </w:r>
    </w:p>
    <w:bookmarkStart w:id="53" w:name="_Toc11139"/>
    <w:bookmarkStart w:id="54" w:name="_Toc25380"/>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4.3.7 电缆、导线的选型及敷设</w:t>
      </w:r>
      <w:bookmarkEnd w:id="53"/>
      <w:bookmarkEnd w:id="54"/>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光伏组串至逆变器的线缆采用PV-F-1x4，直流1000V光伏专用电缆，沿支架横梁敷设至桥架，无横梁的地方穿UPVC管敷设；当同个逆变器的组串不在同一排时，前后排组串的线缆穿UPVC管至逆变器。逆变器至并网柜的电气线缆采用ZC-YJV22-1.6/3.3kV交联聚乙烯绝缘聚氯乙烯护套电力电缆经桥架敷设至地面后再直埋或穿管进入并网柜，并在进线处做好防火封堵。</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直流电缆、动力电缆与控制电缆之间应尽可能分开或分隔敷设。</w:t>
      </w:r>
    </w:p>
    <w:bookmarkStart w:id="55" w:name="_Toc4818"/>
    <w:bookmarkStart w:id="56" w:name="_Toc16259"/>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4.4 建设管理方案</w:t>
      </w:r>
      <w:bookmarkEnd w:id="55"/>
      <w:bookmarkEnd w:id="56"/>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4.4.1 项目组织</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为确保项目的建设能够顺利的进行、顺利实施，尽快的投入运营，早日的发挥其重要的价值所在，务必切实加强领导，做好项目的前期准备工作，确保项目的工程质量与进度的完善。</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本项目在建设期间，由建设单位组建建设领导小组，有效的负责项目的组织、协调与管理，并负责控制项目建设的进度、质量和投资。项目指挥部下设办公室、工程管理部、物资供应部、计划财务部等职能部门。</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4.4.2 项目管理</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1、建设期管理</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为确保工程建设的顺利进行，由主管单位和建设单位成立本项目建设领导小组，切实加强对建设工程项目的领导，“领导小组”内各职能部门都能密切协调配合，做到目标、项目、资金、人员、责任、监督“六落实”并采取有力措施，层层签订责任状，确保项目的顺利实施，并收到预期效果。</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整个项目建设要严格执行项目法人制、招投标制、质量监督管理制和工程合同制。要牢固树立“质量第一”的思想，严格把住各个环节的质量关，对项目的资金要做到专款专用，专户储存，封闭使用，严禁资金的挪用，确保项目资金的及时足额到位。</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领导小组负责项目设计、施工和监理的招投标、协调计划落实和工程项目的监督管理、项目的监督检查、资金的落实，确保本项目按期顺利完成，其具体工作如下：</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（1）实行招标投标制</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对项目勘察设计、施工、监理以及与工程建设有关的设备、主要材料等的采购，面向社会进行公开招标，以达到提高工程质量，降低成本的目的。</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（2）实行工程质量终身责任制</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对项目建设工程质量负主要责任的领导、对参建单位的领导人和直接责任人，实行工程质量终身负责制度。</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（3）实行工程监理制</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项目建设过程中，聘请有资质的监理单位和人员，对项目建设进行监理，抓好工程进度，提高工程质量，降低成本。</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（4）严格按照基本建设程序办事</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项目建设过程中，同级审计部门会同纪检检察部门应对建设项目随时进行审计和监督，本项目也应该接受计划、审计等部门和社会舆论的监督，建成后按照有关规定进行严格的竣工验收。</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（5）严格项目资金管理</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要强化项目区建设专项资金的管理，实行封闭运行的财务管理机制，将建设项目分户建卡，实行专账管理、专款专用，根据项目所需的设备、材料和人工费用按验收凭证经检查、验收后进入预算或结算程序，严禁挪用和挤占。</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2、运营期管理</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运营管理包括节能与节水管理、耗材管理、绿化管理、垃圾管理四方面内容：</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（1）节能与节水管理</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本项目需制定节能和节水管理模式，对厂区内所使用的资源如水、电等进行监控管理的措施，建立完善的节能和节水管理机制。</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（2）耗材管理</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设备、管道的布置应方便维修、改造和更换；属公共使用功能的设备、管道应设置在公共部位，以便日常维护和更换。建立耗材管理制度，主要包括建立建筑、设备、系统的维护制度，减少因维修带来的材料消耗，使用各类绿色建筑材料。</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（3）绿化管理</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对绿化用水进行计量，建立完善节水型灌溉系统。</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（4）垃圾管理</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在项目管理阶段制定一个垃圾管理制度，对生活垃圾进行分类收集，以便于相关垃圾处理单位改造利用。</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4.4.3 实施进度</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本项目可行性研究报告批准后，建设单位严格按照国家对建设工程的有关规定，积极开展工作。本项目实施主要包括以下五个部分：</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1、前期工作：可研报告编制及批复、准备设计资料、土地征用及补偿等。</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2、设计工作：建设场地勘察和工程设计等。</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3、施工准备：落实协作关系及场地平整。</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4、工程施工：进行总图及工程施工。</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5、竣工验收：交工验收。</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为加快建设进度，缩短建设工期，各阶段工作应尽量提前进行，允许有一定程度交叉。依据项目确定的规划设计方案，项目的建设工期拟定为2年。</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jc w:val="center"/>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表4-4项目实施进度计划表</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i w:val="false"/>
          <w:iCs w:val="false"/>
          <w:snapToGrid w:val="false"/>
          <w:color w:val="000000"/>
          <w:kern w:val="0"/>
          <w:sz w:val="21"/>
          <w:szCs w:val="21"/>
          <w:u w:val="none"/>
          <w:lang w:val="en-US" w:eastAsia="zh-CN" w:bidi="ar"/>
        </w:rPr>
        <w:drawing>
          <wp:inline distT="0" distB="0" distL="0" distR="0">
            <wp:extent cx="5274310" cy="2315210"/>
            <wp:effectExtent l="0" t="0" r="0" b="0"/>
            <wp:docPr id="44" name="picture" descr="descript"/>
            <wp:cNvGraphicFramePr/>
            <a:graphic>
              <a:graphicData uri="http://schemas.openxmlformats.org/drawingml/2006/picture">
                <pic:pic>
                  <pic:nvPicPr>
                    <pic:cNvPr id="45" name="picture" descr="descript"/>
                    <pic:cNvPicPr/>
                  </pic:nvPicPr>
                  <pic:blipFill>
                    <a:blip r:embed="rId21"/>
                    <a:stretch>
                      <a:fillRect/>
                    </a:stretch>
                  </pic:blipFill>
                  <pic:spPr>
                    <a:xfrm>
                      <a:off x="0" y="0"/>
                      <a:ext cx="5274310" cy="2315551"/>
                    </a:xfrm>
                    <a:prstGeom prst="rect">
                      <a:avLst/>
                    </a:prstGeom>
                  </pic:spPr>
                </pic:pic>
              </a:graphicData>
            </a:graphic>
          </wp:inline>
        </w:drawing>
      </w:r>
      <w:r>
        <w:rPr>
          <w:rFonts w:hint="eastAsia" w:ascii="宋体" w:hAnsi="宋体" w:eastAsia="宋体" w:cs="宋体"/>
          <w:b/>
          <w:bCs/>
          <w:sz w:val="28"/>
          <w:szCs w:val="28"/>
          <w:lang w:val="en-US" w:eastAsia="zh-CN"/>
        </w:rPr>
        <w:t>4.4.4 项目招投标</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4.4.4.1 招标原则</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1、公开原则</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公开原则，即要求招标投标活动必须保证充分的透明度，招标投标程序、投标人的资格条件、评标标准和方法、评标和中标结果等信息要公开，保证每个投标人能够获得相同信息，公平参与投标竞争并依法维护自身的合法权益。同时招标投标活动的公开透明，也为当事人、行政和社会监督提供了条件。公开是公平、公正的基础和前提。</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2、公平原则</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公平原则，即要求招标人在招标投标各程序环节中一视同仁地给予潜在投标人或者投标人平等竞争的机会，并使其享有同等的权利和义务。例如，招标人不得在资格预审文件和招标文件中含有倾向性内容或者以不合理的条件限制和排斥潜在投标人；不得对潜在投标人或者投标人采取不同的资格审查或者评标标准，依法必须进行招标的项目不得以特定行政区域或者特定行业的业绩、奖项作为评标加分条件或者中标条件等。公平原则主要体现在两个方面:一方面，机会均等，即潜在投标人具有均等的投标竞争机会；另一方面，各方权利义务平等，即招标人和所有投标人之间权利义务均衡并合理承担民事责任。</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3、公正原则</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公正原则，即要求招标人必须依法设定科学、合理和统一的程序、方法和标准，并严格据此接受和客观评审投标文件，真正择优确定中标人，不倾向、不歧视、不排斥，保证各投标人的合法平等权益。为此，招标投标法及其配套规定对招标、投标、开标、评标、中标、签订合同等作了相关规定，以保证招标投标的程序、方法、标准、权益及其实体结果的公正。例如，评标委员会必须按照招标文件事先确定并公开的评标标准和方法客观评审投标文件和推荐中标候选人，并明确否决投标的法定情形等。</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4、诚实信用原则</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诚实信用原则，即要求招标投标各方当事人在招标投标活动和履行合同中应当以守法、诚实、守信、善意的意识和态度行使权利和履行义务，不得故意隐瞒真相或者弄虚作假，不得串标、围标和恶意竞争，不能言而无信甚至背信弃义，在追求自己合法利益的同时不得损害他人的合法利益和社会利益，依法维护双方利益以及与社会利益的平衡。诚实信用是市场经济的基石和民事活动的基本原则。</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4.4.4.2 招标依据</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《中华人民共和国建筑法》；</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《中华人民共和国招标投标法》；</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河南省招投标有关规定。</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4.4.4.4 招标条件</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《工程建设项目施工招标投标办法》第八条中规定：依法必须招标的工程建设项目，应当具备下列条件才能进行施工招标：</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1、招标人已经依法成立。</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2、初步设计及概算应当履行审批手续的，已经批准。</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3、有相应资金或资金来源已经落实。</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4、有招标所需的设计图纸及技术资料。</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4.4.4.5 招标程序</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1、项目招标</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本项目招标活动具体程序如下：</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（1）本项目按照国家有关规定先履行项目审批手续，取得批准后进行公开招标。</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（2）招标人在国家指定媒体发布招标公告。公告应当载明招标人名称和地址，招标项目的性质、数量、实施地点和时间以及获取招标文件的办法等事项。</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（3）本项目的招标文件应当包括招标项目的技术要求、对投标人资格审查的标准，投标报价要求和评标标准等所有实质性要求和条件以及拟签订合同的主要条款。</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（4）组织潜在投标人踏勘项目现场。</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（5）项目招标文件开始发出之日起至投标人提交投标文件截止之日，最短不得少于二十日。</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2、项目投标</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（1）本项目投标人应当具备承担招标项目的能力，并应按照招标文件的要求编制投标文件。</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（2）投标文件的内容应当包括拟派出的项目负责人与主要技术人员的简历、业绩和拟用于完成招标项目的机械设备清单等。</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（3）投标人应当在招标文件要求提交投标文件的截止时间前，将投标文件送达投标地点。投标人少于三个的，招标人应当依照本办法重新招标。</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（4）投标人拟在中标后将中标项目的部分非主体、非关键性工作进行分包的，应当在投标文件中载明。</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（5）投标人不得相互串通投标报价，不得排挤其它投标人的公平竞争，不得损害招标人或其它投标人的合法权益。</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（6）投标人不得以低于成本的报价投标，也不得以他人名义投标或者以其它方式弄虚作假、骗取中标。</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3、开标、评标和中标</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（1）开标由委托的招标代理机构主持，在招标文件确定的提交投标文件截止时间的同一时间及预先确定的地点，邀请所有投标人参加。</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评标由招标人依法组建的评标委员会负责。评标委员会由五人以上单数组成，其中技术、经济等方面的专家不得少于成员总数的三分之二。专家应当是从事相关领域工作满八年并具有高级职称或具有同等专业水平，对工程项目有较深入的研究，并且职业道德良好，与投标单位无任何利害关系。评标委员会成员应当客观、公正地履行职务，遵守职业道德，对提出的评审意见承担个人责任。</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（3）中标人确定后，招标人向中标人发出中标通知书，该通知书具有法律效力，若中标人放弃中标项目，应当承担法律责任。</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自中标通知书发出30日之内，按照招标文件和中标人的投标文件，招标人和中标人签订书面合同。中标人应当按照合同履行义务，完成中标项目。中标人不得向他人转包中标项目，也不得将中标项目肢解后分别向他人转包。</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4.4.4.6 招标方案</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本项目所涉及到的所有建设项目均按规定要求实施招标，委托有资质的招标单位组织实施，采用公开招标方式，实行合理低价中标的原则，杜绝一切漏洞，保证项目顺利进行，达到项目的最初预期和效益。</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1、招标范围</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本项目招标范围包括项目的勘察、设计、建安工程施工、设备采购、工程监理等。</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2、招标组织形式</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根据法律、法规规定，本项目拟采取委托招标形式。</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3、招标方式本项目的勘察设计、工程监理、建筑施工及安装工程、设备的采购拟采用的招标方式进行公开，择优选择勘察设计单位、建筑安装公司、工程监理公司和设备供货商。</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具体招标方案如下所示：</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jc w:val="center"/>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表4-5项目招投标一览表</w:t>
      </w:r>
    </w:p>
    <w:tbl>
      <w:tblPr>
        <w:tblStyle w:val="00000a"/>
        <w:tblW w:w="0" w:type="auto"/>
        <w:tblInd w:w="-79" w:type="dxa"/>
        <w:tblBorders>
          <w:top w:val="single" w:color="999999" w:sz="6" w:space="0"/>
          <w:left w:val="single" w:color="999999" w:sz="6" w:space="0"/>
          <w:bottom w:val="single" w:color="999999" w:sz="6" w:space="0"/>
          <w:right w:val="single" w:color="999999" w:sz="6" w:space="0"/>
          <w:insideH w:val="single" w:color="999999" w:sz="6" w:space="0"/>
          <w:insideV w:val="single" w:color="999999" w:sz="6" w:space="0"/>
        </w:tblBorders>
        <w:tblLayout w:type="fixed"/>
        <w:tblCellMar>
          <w:top w:w="0" w:type="dxa"/>
          <w:left w:w="0" w:type="dxa"/>
          <w:bottom w:w="0" w:type="dxa"/>
          <w:right w:w="0" w:type="dxa"/>
        </w:tblCellMar>
      </w:tblPr>
      <w:tblGrid>
        <w:gridCol w:w="1315"/>
        <w:gridCol w:w="900"/>
        <w:gridCol w:w="951"/>
        <w:gridCol w:w="886"/>
        <w:gridCol w:w="891"/>
        <w:gridCol w:w="889"/>
        <w:gridCol w:w="890"/>
        <w:gridCol w:w="1109"/>
        <w:gridCol w:w="886"/>
      </w:tblGrid>
      <w:tr>
        <w:trPr>
          <w:trHeight w:val="575" w:hRule="atLeast"/>
        </w:trPr>
        <w:tc>
          <w:tcPr>
            <w:tcW w:w="1315" w:type="dxa"/>
            <w:vMerge w:val="restart"/>
            <w:vAlign w:val="center"/>
          </w:tcPr>
          <w:p>
            <w:pPr>
              <w:jc w:val="center"/>
              <w:rPr>
                <w:rFonts w:hint="eastAsia" w:ascii="宋体" w:hAnsi="宋体" w:eastAsia="宋体" w:cs="宋体"/>
                <w:b/>
                <w:bCs/>
                <w:sz w:val="21"/>
                <w:szCs w:val="21"/>
              </w:rPr>
            </w:pPr>
            <w:r>
              <w:rPr>
                <w:rFonts w:hint="eastAsia" w:ascii="宋体" w:hAnsi="宋体" w:eastAsia="宋体" w:cs="宋体"/>
                <w:b/>
                <w:bCs/>
                <w:sz w:val="21"/>
                <w:szCs w:val="21"/>
              </w:rPr>
              <w:t>分项</w:t>
            </w:r>
          </w:p>
        </w:tc>
        <w:tc>
          <w:tcPr>
            <w:tcW w:w="1851" w:type="dxa"/>
            <w:gridSpan w:val="2"/>
            <w:vAlign w:val="center"/>
          </w:tcPr>
          <w:p>
            <w:pPr>
              <w:jc w:val="center"/>
              <w:rPr>
                <w:rFonts w:hint="eastAsia" w:ascii="宋体" w:hAnsi="宋体" w:eastAsia="宋体" w:cs="宋体"/>
                <w:b/>
                <w:bCs/>
                <w:sz w:val="21"/>
                <w:szCs w:val="21"/>
              </w:rPr>
            </w:pPr>
            <w:r>
              <w:rPr>
                <w:rFonts w:hint="eastAsia" w:ascii="宋体" w:hAnsi="宋体" w:eastAsia="宋体" w:cs="宋体"/>
                <w:b/>
                <w:bCs/>
                <w:sz w:val="21"/>
                <w:szCs w:val="21"/>
              </w:rPr>
              <w:t>招标范围</w:t>
            </w:r>
          </w:p>
        </w:tc>
        <w:tc>
          <w:tcPr>
            <w:tcW w:w="1777" w:type="dxa"/>
            <w:gridSpan w:val="2"/>
            <w:vAlign w:val="center"/>
          </w:tcPr>
          <w:p>
            <w:pPr>
              <w:jc w:val="center"/>
              <w:rPr>
                <w:rFonts w:hint="eastAsia" w:ascii="宋体" w:hAnsi="宋体" w:eastAsia="宋体" w:cs="宋体"/>
                <w:b/>
                <w:bCs/>
                <w:sz w:val="21"/>
                <w:szCs w:val="21"/>
              </w:rPr>
            </w:pPr>
            <w:r>
              <w:rPr>
                <w:rFonts w:hint="eastAsia" w:ascii="宋体" w:hAnsi="宋体" w:eastAsia="宋体" w:cs="宋体"/>
                <w:b/>
                <w:bCs/>
                <w:sz w:val="21"/>
                <w:szCs w:val="21"/>
              </w:rPr>
              <w:t>招标组织形式</w:t>
            </w:r>
          </w:p>
        </w:tc>
        <w:tc>
          <w:tcPr>
            <w:tcW w:w="1779" w:type="dxa"/>
            <w:gridSpan w:val="2"/>
            <w:vAlign w:val="center"/>
          </w:tcPr>
          <w:p>
            <w:pPr>
              <w:jc w:val="center"/>
              <w:rPr>
                <w:rFonts w:hint="eastAsia" w:ascii="宋体" w:hAnsi="宋体" w:eastAsia="宋体" w:cs="宋体"/>
                <w:b/>
                <w:bCs/>
                <w:sz w:val="21"/>
                <w:szCs w:val="21"/>
              </w:rPr>
            </w:pPr>
            <w:r>
              <w:rPr>
                <w:rFonts w:hint="eastAsia" w:ascii="宋体" w:hAnsi="宋体" w:eastAsia="宋体" w:cs="宋体"/>
                <w:b/>
                <w:bCs/>
                <w:sz w:val="21"/>
                <w:szCs w:val="21"/>
              </w:rPr>
              <w:t>招标方式</w:t>
            </w:r>
          </w:p>
        </w:tc>
        <w:tc>
          <w:tcPr>
            <w:tcW w:w="1109" w:type="dxa"/>
            <w:vMerge w:val="restart"/>
            <w:vAlign w:val="center"/>
          </w:tcPr>
          <w:p>
            <w:pPr>
              <w:jc w:val="center"/>
              <w:rPr>
                <w:rFonts w:hint="eastAsia" w:ascii="宋体" w:hAnsi="宋体" w:eastAsia="宋体" w:cs="宋体"/>
                <w:b/>
                <w:bCs/>
                <w:sz w:val="21"/>
                <w:szCs w:val="21"/>
              </w:rPr>
            </w:pPr>
            <w:r>
              <w:rPr>
                <w:rFonts w:hint="eastAsia" w:ascii="宋体" w:hAnsi="宋体" w:eastAsia="宋体" w:cs="宋体"/>
                <w:b/>
                <w:bCs/>
                <w:sz w:val="21"/>
                <w:szCs w:val="21"/>
              </w:rPr>
              <w:t>不采用招标方式</w:t>
            </w:r>
          </w:p>
        </w:tc>
        <w:tc>
          <w:tcPr>
            <w:tcW w:w="886" w:type="dxa"/>
            <w:vMerge w:val="restart"/>
            <w:vAlign w:val="center"/>
          </w:tcPr>
          <w:p>
            <w:pPr>
              <w:jc w:val="center"/>
              <w:rPr>
                <w:rFonts w:hint="eastAsia" w:ascii="宋体" w:hAnsi="宋体" w:eastAsia="宋体" w:cs="宋体"/>
                <w:b/>
                <w:bCs/>
                <w:sz w:val="21"/>
                <w:szCs w:val="21"/>
              </w:rPr>
            </w:pPr>
            <w:r>
              <w:rPr>
                <w:rFonts w:hint="eastAsia" w:ascii="宋体" w:hAnsi="宋体" w:eastAsia="宋体" w:cs="宋体"/>
                <w:b/>
                <w:bCs/>
                <w:sz w:val="21"/>
                <w:szCs w:val="21"/>
              </w:rPr>
              <w:t>投资概算</w:t>
            </w:r>
          </w:p>
          <w:p>
            <w:pPr>
              <w:jc w:val="center"/>
              <w:rPr>
                <w:rFonts w:hint="eastAsia" w:ascii="宋体" w:hAnsi="宋体" w:eastAsia="宋体" w:cs="宋体"/>
                <w:b/>
                <w:bCs/>
                <w:sz w:val="21"/>
                <w:szCs w:val="21"/>
              </w:rPr>
            </w:pPr>
            <w:r>
              <w:rPr>
                <w:rFonts w:hint="eastAsia" w:ascii="宋体" w:hAnsi="宋体" w:eastAsia="宋体" w:cs="宋体"/>
                <w:b/>
                <w:bCs/>
                <w:sz w:val="21"/>
                <w:szCs w:val="21"/>
              </w:rPr>
              <w:t>（万元）</w:t>
            </w:r>
          </w:p>
        </w:tc>
      </w:tr>
      <w:tr>
        <w:trPr>
          <w:trHeight w:val="610" w:hRule="atLeast"/>
        </w:trPr>
        <w:tc>
          <w:tcPr>
            <w:tcW w:w="1315" w:type="dxa"/>
            <w:vMerge w:val="continue"/>
            <w:vAlign w:val="center"/>
          </w:tcPr>
          <w:p>
            <w:pPr>
              <w:jc w:val="center"/>
              <w:rPr>
                <w:rFonts w:hint="eastAsia" w:ascii="宋体" w:hAnsi="宋体" w:eastAsia="宋体" w:cs="宋体"/>
                <w:sz w:val="21"/>
                <w:szCs w:val="21"/>
              </w:rPr>
            </w:pPr>
          </w:p>
        </w:tc>
        <w:tc>
          <w:tcPr>
            <w:tcW w:w="900" w:type="dxa"/>
            <w:vAlign w:val="center"/>
          </w:tcPr>
          <w:p>
            <w:pPr>
              <w:jc w:val="center"/>
              <w:rPr>
                <w:rFonts w:hint="eastAsia" w:ascii="宋体" w:hAnsi="宋体" w:eastAsia="宋体" w:cs="宋体"/>
                <w:b/>
                <w:bCs/>
                <w:sz w:val="21"/>
                <w:szCs w:val="21"/>
              </w:rPr>
            </w:pPr>
            <w:r>
              <w:rPr>
                <w:rFonts w:hint="eastAsia" w:ascii="宋体" w:hAnsi="宋体" w:eastAsia="宋体" w:cs="宋体"/>
                <w:b/>
                <w:bCs/>
                <w:sz w:val="21"/>
                <w:szCs w:val="21"/>
              </w:rPr>
              <w:t>全部招标</w:t>
            </w:r>
          </w:p>
        </w:tc>
        <w:tc>
          <w:tcPr>
            <w:tcW w:w="951" w:type="dxa"/>
            <w:vAlign w:val="center"/>
          </w:tcPr>
          <w:p>
            <w:pPr>
              <w:jc w:val="center"/>
              <w:rPr>
                <w:rFonts w:hint="eastAsia" w:ascii="宋体" w:hAnsi="宋体" w:eastAsia="宋体" w:cs="宋体"/>
                <w:b/>
                <w:bCs/>
                <w:sz w:val="21"/>
                <w:szCs w:val="21"/>
              </w:rPr>
            </w:pPr>
            <w:r>
              <w:rPr>
                <w:rFonts w:hint="eastAsia" w:ascii="宋体" w:hAnsi="宋体" w:eastAsia="宋体" w:cs="宋体"/>
                <w:b/>
                <w:bCs/>
                <w:sz w:val="21"/>
                <w:szCs w:val="21"/>
              </w:rPr>
              <w:t>部分招标</w:t>
            </w:r>
          </w:p>
        </w:tc>
        <w:tc>
          <w:tcPr>
            <w:tcW w:w="886" w:type="dxa"/>
            <w:vAlign w:val="center"/>
          </w:tcPr>
          <w:p>
            <w:pPr>
              <w:jc w:val="center"/>
              <w:rPr>
                <w:rFonts w:hint="eastAsia" w:ascii="宋体" w:hAnsi="宋体" w:eastAsia="宋体" w:cs="宋体"/>
                <w:b/>
                <w:bCs/>
                <w:sz w:val="21"/>
                <w:szCs w:val="21"/>
              </w:rPr>
            </w:pPr>
            <w:r>
              <w:rPr>
                <w:rFonts w:hint="eastAsia" w:ascii="宋体" w:hAnsi="宋体" w:eastAsia="宋体" w:cs="宋体"/>
                <w:b/>
                <w:bCs/>
                <w:sz w:val="21"/>
                <w:szCs w:val="21"/>
              </w:rPr>
              <w:t>自行招标</w:t>
            </w:r>
          </w:p>
        </w:tc>
        <w:tc>
          <w:tcPr>
            <w:tcW w:w="891" w:type="dxa"/>
            <w:vAlign w:val="center"/>
          </w:tcPr>
          <w:p>
            <w:pPr>
              <w:jc w:val="center"/>
              <w:rPr>
                <w:rFonts w:hint="eastAsia" w:ascii="宋体" w:hAnsi="宋体" w:eastAsia="宋体" w:cs="宋体"/>
                <w:b/>
                <w:bCs/>
                <w:sz w:val="21"/>
                <w:szCs w:val="21"/>
              </w:rPr>
            </w:pPr>
            <w:r>
              <w:rPr>
                <w:rFonts w:hint="eastAsia" w:ascii="宋体" w:hAnsi="宋体" w:eastAsia="宋体" w:cs="宋体"/>
                <w:b/>
                <w:bCs/>
                <w:sz w:val="21"/>
                <w:szCs w:val="21"/>
              </w:rPr>
              <w:t>委托招标</w:t>
            </w:r>
          </w:p>
        </w:tc>
        <w:tc>
          <w:tcPr>
            <w:tcW w:w="889" w:type="dxa"/>
            <w:vAlign w:val="center"/>
          </w:tcPr>
          <w:p>
            <w:pPr>
              <w:jc w:val="center"/>
              <w:rPr>
                <w:rFonts w:hint="eastAsia" w:ascii="宋体" w:hAnsi="宋体" w:eastAsia="宋体" w:cs="宋体"/>
                <w:b/>
                <w:bCs/>
                <w:sz w:val="21"/>
                <w:szCs w:val="21"/>
              </w:rPr>
            </w:pPr>
            <w:r>
              <w:rPr>
                <w:rFonts w:hint="eastAsia" w:ascii="宋体" w:hAnsi="宋体" w:eastAsia="宋体" w:cs="宋体"/>
                <w:b/>
                <w:bCs/>
                <w:sz w:val="21"/>
                <w:szCs w:val="21"/>
              </w:rPr>
              <w:t>公开招标</w:t>
            </w:r>
          </w:p>
        </w:tc>
        <w:tc>
          <w:tcPr>
            <w:tcW w:w="890" w:type="dxa"/>
            <w:vAlign w:val="center"/>
          </w:tcPr>
          <w:p>
            <w:pPr>
              <w:jc w:val="center"/>
              <w:rPr>
                <w:rFonts w:hint="eastAsia" w:ascii="宋体" w:hAnsi="宋体" w:eastAsia="宋体" w:cs="宋体"/>
                <w:b/>
                <w:bCs/>
                <w:sz w:val="21"/>
                <w:szCs w:val="21"/>
              </w:rPr>
            </w:pPr>
            <w:r>
              <w:rPr>
                <w:rFonts w:hint="eastAsia" w:ascii="宋体" w:hAnsi="宋体" w:eastAsia="宋体" w:cs="宋体"/>
                <w:b/>
                <w:bCs/>
                <w:sz w:val="21"/>
                <w:szCs w:val="21"/>
              </w:rPr>
              <w:t>邀请招标</w:t>
            </w:r>
          </w:p>
        </w:tc>
        <w:tc>
          <w:tcPr>
            <w:tcW w:w="1109" w:type="dxa"/>
            <w:vMerge w:val="continue"/>
            <w:vAlign w:val="center"/>
          </w:tcPr>
          <w:p>
            <w:pPr>
              <w:jc w:val="center"/>
              <w:rPr>
                <w:rFonts w:hint="eastAsia" w:ascii="宋体" w:hAnsi="宋体" w:eastAsia="宋体" w:cs="宋体"/>
                <w:sz w:val="21"/>
                <w:szCs w:val="21"/>
              </w:rPr>
            </w:pPr>
          </w:p>
        </w:tc>
        <w:tc>
          <w:tcPr>
            <w:tcW w:w="886" w:type="dxa"/>
            <w:vMerge w:val="continue"/>
            <w:vAlign w:val="center"/>
          </w:tcPr>
          <w:p>
            <w:pPr>
              <w:jc w:val="center"/>
              <w:rPr>
                <w:rFonts w:hint="eastAsia" w:ascii="宋体" w:hAnsi="宋体" w:eastAsia="宋体" w:cs="宋体"/>
                <w:sz w:val="21"/>
                <w:szCs w:val="21"/>
              </w:rPr>
            </w:pPr>
          </w:p>
        </w:tc>
      </w:tr>
      <w:tr>
        <w:trPr>
          <w:trHeight w:val="760" w:hRule="atLeast"/>
        </w:trPr>
        <w:tc>
          <w:tcPr>
            <w:tcW w:w="1315"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勘察</w:t>
            </w:r>
          </w:p>
        </w:tc>
        <w:tc>
          <w:tcPr>
            <w:tcW w:w="900"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w:t>
            </w:r>
          </w:p>
        </w:tc>
        <w:tc>
          <w:tcPr>
            <w:tcW w:w="951" w:type="dxa"/>
            <w:vAlign w:val="center"/>
          </w:tcPr>
          <w:p>
            <w:pPr>
              <w:jc w:val="center"/>
              <w:rPr>
                <w:rFonts w:hint="eastAsia" w:ascii="宋体" w:hAnsi="宋体" w:eastAsia="宋体" w:cs="宋体"/>
                <w:sz w:val="21"/>
                <w:szCs w:val="21"/>
              </w:rPr>
            </w:pPr>
          </w:p>
        </w:tc>
        <w:tc>
          <w:tcPr>
            <w:tcW w:w="886" w:type="dxa"/>
            <w:vAlign w:val="center"/>
          </w:tcPr>
          <w:p>
            <w:pPr>
              <w:jc w:val="center"/>
              <w:rPr>
                <w:rFonts w:hint="eastAsia" w:ascii="宋体" w:hAnsi="宋体" w:eastAsia="宋体" w:cs="宋体"/>
                <w:sz w:val="21"/>
                <w:szCs w:val="21"/>
              </w:rPr>
            </w:pPr>
          </w:p>
        </w:tc>
        <w:tc>
          <w:tcPr>
            <w:tcW w:w="891"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w:t>
            </w:r>
          </w:p>
        </w:tc>
        <w:tc>
          <w:tcPr>
            <w:tcW w:w="889"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w:t>
            </w:r>
          </w:p>
        </w:tc>
        <w:tc>
          <w:tcPr>
            <w:tcW w:w="890" w:type="dxa"/>
            <w:vAlign w:val="center"/>
          </w:tcPr>
          <w:p>
            <w:pPr>
              <w:jc w:val="center"/>
              <w:rPr>
                <w:rFonts w:hint="eastAsia" w:ascii="宋体" w:hAnsi="宋体" w:eastAsia="宋体" w:cs="宋体"/>
                <w:sz w:val="21"/>
                <w:szCs w:val="21"/>
              </w:rPr>
            </w:pPr>
          </w:p>
        </w:tc>
        <w:tc>
          <w:tcPr>
            <w:tcW w:w="1109" w:type="dxa"/>
            <w:vAlign w:val="center"/>
          </w:tcPr>
          <w:p>
            <w:pPr>
              <w:jc w:val="center"/>
              <w:rPr>
                <w:rFonts w:hint="eastAsia" w:ascii="宋体" w:hAnsi="宋体" w:eastAsia="宋体" w:cs="宋体"/>
                <w:sz w:val="21"/>
                <w:szCs w:val="21"/>
              </w:rPr>
            </w:pPr>
          </w:p>
        </w:tc>
        <w:tc>
          <w:tcPr>
            <w:tcW w:w="886" w:type="dxa"/>
            <w:vAlign w:val="center"/>
          </w:tcPr>
          <w:p>
            <w:pPr>
              <w:jc w:val="center"/>
              <w:rPr>
                <w:rFonts w:hint="eastAsia" w:ascii="宋体" w:hAnsi="宋体" w:eastAsia="宋体" w:cs="宋体"/>
                <w:sz w:val="21"/>
                <w:szCs w:val="21"/>
              </w:rPr>
            </w:pPr>
          </w:p>
        </w:tc>
      </w:tr>
      <w:tr>
        <w:trPr>
          <w:trHeight w:val="760" w:hRule="atLeast"/>
        </w:trPr>
        <w:tc>
          <w:tcPr>
            <w:tcW w:w="1315"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设计</w:t>
            </w:r>
          </w:p>
        </w:tc>
        <w:tc>
          <w:tcPr>
            <w:tcW w:w="900"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w:t>
            </w:r>
          </w:p>
        </w:tc>
        <w:tc>
          <w:tcPr>
            <w:tcW w:w="951" w:type="dxa"/>
            <w:vAlign w:val="center"/>
          </w:tcPr>
          <w:p>
            <w:pPr>
              <w:jc w:val="center"/>
              <w:rPr>
                <w:rFonts w:hint="eastAsia" w:ascii="宋体" w:hAnsi="宋体" w:eastAsia="宋体" w:cs="宋体"/>
                <w:sz w:val="21"/>
                <w:szCs w:val="21"/>
              </w:rPr>
            </w:pPr>
          </w:p>
        </w:tc>
        <w:tc>
          <w:tcPr>
            <w:tcW w:w="886" w:type="dxa"/>
            <w:vAlign w:val="center"/>
          </w:tcPr>
          <w:p>
            <w:pPr>
              <w:jc w:val="center"/>
              <w:rPr>
                <w:rFonts w:hint="eastAsia" w:ascii="宋体" w:hAnsi="宋体" w:eastAsia="宋体" w:cs="宋体"/>
                <w:sz w:val="21"/>
                <w:szCs w:val="21"/>
              </w:rPr>
            </w:pPr>
          </w:p>
        </w:tc>
        <w:tc>
          <w:tcPr>
            <w:tcW w:w="891"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w:t>
            </w:r>
          </w:p>
        </w:tc>
        <w:tc>
          <w:tcPr>
            <w:tcW w:w="889"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w:t>
            </w:r>
          </w:p>
        </w:tc>
        <w:tc>
          <w:tcPr>
            <w:tcW w:w="890" w:type="dxa"/>
            <w:vAlign w:val="center"/>
          </w:tcPr>
          <w:p>
            <w:pPr>
              <w:jc w:val="center"/>
              <w:rPr>
                <w:rFonts w:hint="eastAsia" w:ascii="宋体" w:hAnsi="宋体" w:eastAsia="宋体" w:cs="宋体"/>
                <w:sz w:val="21"/>
                <w:szCs w:val="21"/>
              </w:rPr>
            </w:pPr>
          </w:p>
        </w:tc>
        <w:tc>
          <w:tcPr>
            <w:tcW w:w="1109" w:type="dxa"/>
            <w:vAlign w:val="center"/>
          </w:tcPr>
          <w:p>
            <w:pPr>
              <w:jc w:val="center"/>
              <w:rPr>
                <w:rFonts w:hint="eastAsia" w:ascii="宋体" w:hAnsi="宋体" w:eastAsia="宋体" w:cs="宋体"/>
                <w:sz w:val="21"/>
                <w:szCs w:val="21"/>
              </w:rPr>
            </w:pPr>
          </w:p>
        </w:tc>
        <w:tc>
          <w:tcPr>
            <w:tcW w:w="886" w:type="dxa"/>
            <w:vAlign w:val="center"/>
          </w:tcPr>
          <w:p>
            <w:pPr>
              <w:jc w:val="center"/>
              <w:rPr>
                <w:rFonts w:hint="eastAsia" w:ascii="宋体" w:hAnsi="宋体" w:eastAsia="宋体" w:cs="宋体"/>
                <w:sz w:val="21"/>
                <w:szCs w:val="21"/>
              </w:rPr>
            </w:pPr>
          </w:p>
        </w:tc>
      </w:tr>
      <w:tr>
        <w:trPr>
          <w:trHeight w:val="760" w:hRule="atLeast"/>
        </w:trPr>
        <w:tc>
          <w:tcPr>
            <w:tcW w:w="1315"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施工</w:t>
            </w:r>
          </w:p>
        </w:tc>
        <w:tc>
          <w:tcPr>
            <w:tcW w:w="900"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w:t>
            </w:r>
          </w:p>
        </w:tc>
        <w:tc>
          <w:tcPr>
            <w:tcW w:w="951" w:type="dxa"/>
            <w:vAlign w:val="center"/>
          </w:tcPr>
          <w:p>
            <w:pPr>
              <w:jc w:val="center"/>
              <w:rPr>
                <w:rFonts w:hint="eastAsia" w:ascii="宋体" w:hAnsi="宋体" w:eastAsia="宋体" w:cs="宋体"/>
                <w:sz w:val="21"/>
                <w:szCs w:val="21"/>
              </w:rPr>
            </w:pPr>
          </w:p>
        </w:tc>
        <w:tc>
          <w:tcPr>
            <w:tcW w:w="886" w:type="dxa"/>
            <w:vAlign w:val="center"/>
          </w:tcPr>
          <w:p>
            <w:pPr>
              <w:jc w:val="center"/>
              <w:rPr>
                <w:rFonts w:hint="eastAsia" w:ascii="宋体" w:hAnsi="宋体" w:eastAsia="宋体" w:cs="宋体"/>
                <w:sz w:val="21"/>
                <w:szCs w:val="21"/>
              </w:rPr>
            </w:pPr>
          </w:p>
        </w:tc>
        <w:tc>
          <w:tcPr>
            <w:tcW w:w="891"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w:t>
            </w:r>
          </w:p>
        </w:tc>
        <w:tc>
          <w:tcPr>
            <w:tcW w:w="889"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w:t>
            </w:r>
          </w:p>
        </w:tc>
        <w:tc>
          <w:tcPr>
            <w:tcW w:w="890" w:type="dxa"/>
            <w:vAlign w:val="center"/>
          </w:tcPr>
          <w:p>
            <w:pPr>
              <w:jc w:val="center"/>
              <w:rPr>
                <w:rFonts w:hint="eastAsia" w:ascii="宋体" w:hAnsi="宋体" w:eastAsia="宋体" w:cs="宋体"/>
                <w:sz w:val="21"/>
                <w:szCs w:val="21"/>
              </w:rPr>
            </w:pPr>
          </w:p>
        </w:tc>
        <w:tc>
          <w:tcPr>
            <w:tcW w:w="1109" w:type="dxa"/>
            <w:vAlign w:val="center"/>
          </w:tcPr>
          <w:p>
            <w:pPr>
              <w:jc w:val="center"/>
              <w:rPr>
                <w:rFonts w:hint="eastAsia" w:ascii="宋体" w:hAnsi="宋体" w:eastAsia="宋体" w:cs="宋体"/>
                <w:sz w:val="21"/>
                <w:szCs w:val="21"/>
              </w:rPr>
            </w:pPr>
          </w:p>
        </w:tc>
        <w:tc>
          <w:tcPr>
            <w:tcW w:w="886" w:type="dxa"/>
            <w:vAlign w:val="center"/>
          </w:tcPr>
          <w:p>
            <w:pPr>
              <w:jc w:val="center"/>
              <w:rPr>
                <w:rFonts w:hint="eastAsia" w:ascii="宋体" w:hAnsi="宋体" w:eastAsia="宋体" w:cs="宋体"/>
                <w:sz w:val="21"/>
                <w:szCs w:val="21"/>
              </w:rPr>
            </w:pPr>
          </w:p>
        </w:tc>
      </w:tr>
      <w:tr>
        <w:trPr>
          <w:trHeight w:val="760" w:hRule="atLeast"/>
        </w:trPr>
        <w:tc>
          <w:tcPr>
            <w:tcW w:w="1315"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工程监理</w:t>
            </w:r>
          </w:p>
        </w:tc>
        <w:tc>
          <w:tcPr>
            <w:tcW w:w="900"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w:t>
            </w:r>
          </w:p>
        </w:tc>
        <w:tc>
          <w:tcPr>
            <w:tcW w:w="951" w:type="dxa"/>
            <w:vAlign w:val="center"/>
          </w:tcPr>
          <w:p>
            <w:pPr>
              <w:jc w:val="center"/>
              <w:rPr>
                <w:rFonts w:hint="eastAsia" w:ascii="宋体" w:hAnsi="宋体" w:eastAsia="宋体" w:cs="宋体"/>
                <w:sz w:val="21"/>
                <w:szCs w:val="21"/>
              </w:rPr>
            </w:pPr>
          </w:p>
        </w:tc>
        <w:tc>
          <w:tcPr>
            <w:tcW w:w="886" w:type="dxa"/>
            <w:vAlign w:val="center"/>
          </w:tcPr>
          <w:p>
            <w:pPr>
              <w:jc w:val="center"/>
              <w:rPr>
                <w:rFonts w:hint="eastAsia" w:ascii="宋体" w:hAnsi="宋体" w:eastAsia="宋体" w:cs="宋体"/>
                <w:sz w:val="21"/>
                <w:szCs w:val="21"/>
              </w:rPr>
            </w:pPr>
          </w:p>
        </w:tc>
        <w:tc>
          <w:tcPr>
            <w:tcW w:w="891"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w:t>
            </w:r>
          </w:p>
        </w:tc>
        <w:tc>
          <w:tcPr>
            <w:tcW w:w="889"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w:t>
            </w:r>
          </w:p>
        </w:tc>
        <w:tc>
          <w:tcPr>
            <w:tcW w:w="890" w:type="dxa"/>
            <w:vAlign w:val="center"/>
          </w:tcPr>
          <w:p>
            <w:pPr>
              <w:jc w:val="center"/>
              <w:rPr>
                <w:rFonts w:hint="eastAsia" w:ascii="宋体" w:hAnsi="宋体" w:eastAsia="宋体" w:cs="宋体"/>
                <w:sz w:val="21"/>
                <w:szCs w:val="21"/>
              </w:rPr>
            </w:pPr>
          </w:p>
        </w:tc>
        <w:tc>
          <w:tcPr>
            <w:tcW w:w="1109" w:type="dxa"/>
            <w:vAlign w:val="center"/>
          </w:tcPr>
          <w:p>
            <w:pPr>
              <w:jc w:val="center"/>
              <w:rPr>
                <w:rFonts w:hint="eastAsia" w:ascii="宋体" w:hAnsi="宋体" w:eastAsia="宋体" w:cs="宋体"/>
                <w:sz w:val="21"/>
                <w:szCs w:val="21"/>
              </w:rPr>
            </w:pPr>
          </w:p>
        </w:tc>
        <w:tc>
          <w:tcPr>
            <w:tcW w:w="886" w:type="dxa"/>
            <w:vAlign w:val="center"/>
          </w:tcPr>
          <w:p>
            <w:pPr>
              <w:jc w:val="center"/>
              <w:rPr>
                <w:rFonts w:hint="eastAsia" w:ascii="宋体" w:hAnsi="宋体" w:eastAsia="宋体" w:cs="宋体"/>
                <w:sz w:val="21"/>
                <w:szCs w:val="21"/>
              </w:rPr>
            </w:pPr>
          </w:p>
        </w:tc>
      </w:tr>
      <w:tr>
        <w:trPr>
          <w:trHeight w:val="760" w:hRule="atLeast"/>
        </w:trPr>
        <w:tc>
          <w:tcPr>
            <w:tcW w:w="1315"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重要购置及</w:t>
            </w:r>
          </w:p>
          <w:p>
            <w:pPr>
              <w:jc w:val="center"/>
              <w:rPr>
                <w:rFonts w:hint="eastAsia" w:ascii="宋体" w:hAnsi="宋体" w:eastAsia="宋体" w:cs="宋体"/>
                <w:sz w:val="21"/>
                <w:szCs w:val="21"/>
              </w:rPr>
            </w:pPr>
            <w:r>
              <w:rPr>
                <w:rFonts w:hint="eastAsia" w:ascii="宋体" w:hAnsi="宋体" w:eastAsia="宋体" w:cs="宋体"/>
                <w:sz w:val="21"/>
                <w:szCs w:val="21"/>
              </w:rPr>
              <w:t>材料</w:t>
            </w:r>
          </w:p>
        </w:tc>
        <w:tc>
          <w:tcPr>
            <w:tcW w:w="900"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w:t>
            </w:r>
          </w:p>
        </w:tc>
        <w:tc>
          <w:tcPr>
            <w:tcW w:w="951" w:type="dxa"/>
            <w:vAlign w:val="center"/>
          </w:tcPr>
          <w:p>
            <w:pPr>
              <w:jc w:val="center"/>
              <w:rPr>
                <w:rFonts w:hint="eastAsia" w:ascii="宋体" w:hAnsi="宋体" w:eastAsia="宋体" w:cs="宋体"/>
                <w:sz w:val="21"/>
                <w:szCs w:val="21"/>
              </w:rPr>
            </w:pPr>
          </w:p>
        </w:tc>
        <w:tc>
          <w:tcPr>
            <w:tcW w:w="886" w:type="dxa"/>
            <w:vAlign w:val="center"/>
          </w:tcPr>
          <w:p>
            <w:pPr>
              <w:jc w:val="center"/>
              <w:rPr>
                <w:rFonts w:hint="eastAsia" w:ascii="宋体" w:hAnsi="宋体" w:eastAsia="宋体" w:cs="宋体"/>
                <w:sz w:val="21"/>
                <w:szCs w:val="21"/>
              </w:rPr>
            </w:pPr>
          </w:p>
        </w:tc>
        <w:tc>
          <w:tcPr>
            <w:tcW w:w="891"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w:t>
            </w:r>
          </w:p>
        </w:tc>
        <w:tc>
          <w:tcPr>
            <w:tcW w:w="889"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w:t>
            </w:r>
          </w:p>
        </w:tc>
        <w:tc>
          <w:tcPr>
            <w:tcW w:w="890" w:type="dxa"/>
            <w:vAlign w:val="center"/>
          </w:tcPr>
          <w:p>
            <w:pPr>
              <w:jc w:val="center"/>
              <w:rPr>
                <w:rFonts w:hint="eastAsia" w:ascii="宋体" w:hAnsi="宋体" w:eastAsia="宋体" w:cs="宋体"/>
                <w:sz w:val="21"/>
                <w:szCs w:val="21"/>
              </w:rPr>
            </w:pPr>
          </w:p>
        </w:tc>
        <w:tc>
          <w:tcPr>
            <w:tcW w:w="1109" w:type="dxa"/>
            <w:vAlign w:val="center"/>
          </w:tcPr>
          <w:p>
            <w:pPr>
              <w:jc w:val="center"/>
              <w:rPr>
                <w:rFonts w:hint="eastAsia" w:ascii="宋体" w:hAnsi="宋体" w:eastAsia="宋体" w:cs="宋体"/>
                <w:sz w:val="21"/>
                <w:szCs w:val="21"/>
              </w:rPr>
            </w:pPr>
          </w:p>
        </w:tc>
        <w:tc>
          <w:tcPr>
            <w:tcW w:w="886" w:type="dxa"/>
            <w:vAlign w:val="center"/>
          </w:tcPr>
          <w:p>
            <w:pPr>
              <w:jc w:val="center"/>
              <w:rPr>
                <w:rFonts w:hint="eastAsia" w:ascii="宋体" w:hAnsi="宋体" w:eastAsia="宋体" w:cs="宋体"/>
                <w:sz w:val="21"/>
                <w:szCs w:val="21"/>
              </w:rPr>
            </w:pPr>
          </w:p>
        </w:tc>
      </w:tr>
      <w:tr>
        <w:trPr>
          <w:trHeight w:val="760" w:hRule="atLeast"/>
        </w:trPr>
        <w:tc>
          <w:tcPr>
            <w:tcW w:w="1315"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其他</w:t>
            </w:r>
          </w:p>
        </w:tc>
        <w:tc>
          <w:tcPr>
            <w:tcW w:w="900" w:type="dxa"/>
            <w:vAlign w:val="center"/>
          </w:tcPr>
          <w:p>
            <w:pPr>
              <w:jc w:val="center"/>
              <w:rPr>
                <w:rFonts w:hint="eastAsia" w:ascii="宋体" w:hAnsi="宋体" w:eastAsia="宋体" w:cs="宋体"/>
                <w:sz w:val="21"/>
                <w:szCs w:val="21"/>
              </w:rPr>
            </w:pPr>
          </w:p>
        </w:tc>
        <w:tc>
          <w:tcPr>
            <w:tcW w:w="951" w:type="dxa"/>
            <w:vAlign w:val="center"/>
          </w:tcPr>
          <w:p>
            <w:pPr>
              <w:jc w:val="center"/>
              <w:rPr>
                <w:rFonts w:hint="eastAsia" w:ascii="宋体" w:hAnsi="宋体" w:eastAsia="宋体" w:cs="宋体"/>
                <w:sz w:val="21"/>
                <w:szCs w:val="21"/>
              </w:rPr>
            </w:pPr>
          </w:p>
        </w:tc>
        <w:tc>
          <w:tcPr>
            <w:tcW w:w="886" w:type="dxa"/>
            <w:vAlign w:val="center"/>
          </w:tcPr>
          <w:p>
            <w:pPr>
              <w:jc w:val="center"/>
              <w:rPr>
                <w:rFonts w:hint="eastAsia" w:ascii="宋体" w:hAnsi="宋体" w:eastAsia="宋体" w:cs="宋体"/>
                <w:sz w:val="21"/>
                <w:szCs w:val="21"/>
              </w:rPr>
            </w:pPr>
          </w:p>
        </w:tc>
        <w:tc>
          <w:tcPr>
            <w:tcW w:w="891" w:type="dxa"/>
            <w:vAlign w:val="center"/>
          </w:tcPr>
          <w:p>
            <w:pPr>
              <w:jc w:val="center"/>
              <w:rPr>
                <w:rFonts w:hint="eastAsia" w:ascii="宋体" w:hAnsi="宋体" w:eastAsia="宋体" w:cs="宋体"/>
                <w:sz w:val="21"/>
                <w:szCs w:val="21"/>
              </w:rPr>
            </w:pPr>
          </w:p>
        </w:tc>
        <w:tc>
          <w:tcPr>
            <w:tcW w:w="889" w:type="dxa"/>
            <w:vAlign w:val="center"/>
          </w:tcPr>
          <w:p>
            <w:pPr>
              <w:jc w:val="center"/>
              <w:rPr>
                <w:rFonts w:hint="eastAsia" w:ascii="宋体" w:hAnsi="宋体" w:eastAsia="宋体" w:cs="宋体"/>
                <w:sz w:val="21"/>
                <w:szCs w:val="21"/>
              </w:rPr>
            </w:pPr>
          </w:p>
        </w:tc>
        <w:tc>
          <w:tcPr>
            <w:tcW w:w="890" w:type="dxa"/>
            <w:vAlign w:val="center"/>
          </w:tcPr>
          <w:p>
            <w:pPr>
              <w:jc w:val="center"/>
              <w:rPr>
                <w:rFonts w:hint="eastAsia" w:ascii="宋体" w:hAnsi="宋体" w:eastAsia="宋体" w:cs="宋体"/>
                <w:sz w:val="21"/>
                <w:szCs w:val="21"/>
              </w:rPr>
            </w:pPr>
          </w:p>
        </w:tc>
        <w:tc>
          <w:tcPr>
            <w:tcW w:w="1109"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w:t>
            </w:r>
          </w:p>
        </w:tc>
        <w:tc>
          <w:tcPr>
            <w:tcW w:w="886" w:type="dxa"/>
            <w:vAlign w:val="center"/>
          </w:tcPr>
          <w:p>
            <w:pPr>
              <w:jc w:val="center"/>
              <w:rPr>
                <w:rFonts w:hint="eastAsia" w:ascii="宋体" w:hAnsi="宋体" w:eastAsia="宋体" w:cs="宋体"/>
                <w:sz w:val="21"/>
                <w:szCs w:val="21"/>
              </w:rPr>
            </w:pPr>
          </w:p>
        </w:tc>
      </w:tr>
    </w:tbl>
    <w:bookmarkStart w:id="57" w:name="_Toc16701"/>
    <w:bookmarkStart w:id="58" w:name="_Toc9558"/>
    <w:p>
      <w:pPr>
        <w:keepNext w:val="false"/>
        <w:keepLines w:val="false"/>
        <w:pageBreakBefore w:val="false"/>
        <w:widowControl w:val="false"/>
        <w:numPr>
          <w:ilvl w:val="0"/>
          <w:numId w:val="0"/>
        </w:numPr>
        <w:kinsoku/>
        <w:wordWrap/>
        <w:overflowPunct/>
        <w:topLinePunct w:val="false"/>
        <w:autoSpaceDE/>
        <w:autoSpaceDN/>
        <w:bidi w:val="false"/>
        <w:adjustRightInd/>
        <w:snapToGrid/>
        <w:spacing w:before="313" w:beforeLines="100" w:after="313" w:afterLines="100" w:line="360" w:lineRule="auto"/>
        <w:jc w:val="center"/>
        <w:textAlignment w:val="auto"/>
        <w:outlineLvl w:val="9"/>
        <w:rPr>
          <w:rFonts w:hint="eastAsia" w:ascii="宋体" w:hAnsi="宋体" w:eastAsia="宋体" w:cs="宋体"/>
          <w:b/>
          <w:bCs/>
          <w:spacing w:val="0"/>
          <w:w w:val="100"/>
          <w:position w:val="0"/>
          <w:sz w:val="36"/>
          <w:szCs w:val="36"/>
          <w:lang w:val="en-US" w:eastAsia="zh-CN"/>
        </w:rPr>
      </w:pPr>
    </w:p>
    <w:p>
      <w:pPr>
        <w:keepNext w:val="false"/>
        <w:keepLines w:val="false"/>
        <w:pageBreakBefore w:val="false"/>
        <w:widowControl w:val="false"/>
        <w:numPr>
          <w:ilvl w:val="0"/>
          <w:numId w:val="0"/>
        </w:numPr>
        <w:kinsoku/>
        <w:wordWrap/>
        <w:overflowPunct/>
        <w:topLinePunct w:val="false"/>
        <w:autoSpaceDE/>
        <w:autoSpaceDN/>
        <w:bidi w:val="false"/>
        <w:adjustRightInd/>
        <w:snapToGrid/>
        <w:spacing w:before="313" w:beforeLines="100" w:after="313" w:afterLines="100" w:line="360" w:lineRule="auto"/>
        <w:jc w:val="center"/>
        <w:textAlignment w:val="auto"/>
        <w:outlineLvl w:val="9"/>
        <w:rPr>
          <w:rFonts w:hint="eastAsia" w:ascii="宋体" w:hAnsi="宋体" w:eastAsia="宋体" w:cs="宋体"/>
          <w:b/>
          <w:bCs/>
          <w:spacing w:val="0"/>
          <w:w w:val="100"/>
          <w:position w:val="0"/>
          <w:sz w:val="36"/>
          <w:szCs w:val="36"/>
          <w:lang w:val="en-US" w:eastAsia="zh-CN"/>
        </w:rPr>
      </w:pPr>
      <w:r>
        <w:rPr>
          <w:rFonts w:hint="eastAsia" w:ascii="宋体" w:hAnsi="宋体" w:eastAsia="宋体" w:cs="宋体"/>
          <w:b/>
          <w:bCs/>
          <w:spacing w:val="0"/>
          <w:w w:val="100"/>
          <w:position w:val="0"/>
          <w:sz w:val="36"/>
          <w:szCs w:val="36"/>
          <w:lang w:val="en-US" w:eastAsia="zh-CN"/>
        </w:rPr>
        <w:br w:type="page"/>
      </w:r>
    </w:p>
    <w:bookmarkStart w:id="59" w:name="_Toc20189"/>
    <w:bookmarkStart w:id="60" w:name="_Toc30856"/>
    <w:p>
      <w:pPr>
        <w:keepNext w:val="false"/>
        <w:keepLines w:val="false"/>
        <w:pageBreakBefore w:val="false"/>
        <w:widowControl/>
        <w:kinsoku w:val="false"/>
        <w:wordWrap/>
        <w:overflowPunct/>
        <w:topLinePunct w:val="false"/>
        <w:autoSpaceDE w:val="false"/>
        <w:autoSpaceDN w:val="false"/>
        <w:bidi w:val="false"/>
        <w:adjustRightInd/>
        <w:snapToGrid/>
        <w:spacing w:before="0" w:beforeLines="100" w:after="0" w:afterLines="100" w:line="360" w:lineRule="auto"/>
        <w:jc w:val="center"/>
        <w:textAlignment w:val="baseline"/>
        <w:outlineLvl w:val="0"/>
        <w:rPr>
          <w:rFonts w:hint="eastAsia" w:ascii="宋体" w:hAnsi="宋体" w:eastAsia="宋体" w:cs="宋体"/>
          <w:b/>
          <w:bCs/>
          <w:sz w:val="36"/>
          <w:szCs w:val="36"/>
          <w:lang w:val="en-US" w:eastAsia="zh-CN"/>
        </w:rPr>
      </w:pPr>
      <w:r>
        <w:rPr>
          <w:rFonts w:hint="eastAsia" w:ascii="宋体" w:hAnsi="宋体" w:eastAsia="宋体" w:cs="宋体"/>
          <w:b/>
          <w:bCs/>
          <w:sz w:val="36"/>
          <w:szCs w:val="36"/>
          <w:lang w:val="en-US" w:eastAsia="zh-CN"/>
        </w:rPr>
        <w:t>第五章 项目运营方案</w:t>
      </w:r>
      <w:bookmarkEnd w:id="57"/>
      <w:bookmarkEnd w:id="58"/>
      <w:bookmarkEnd w:id="59"/>
      <w:bookmarkEnd w:id="60"/>
    </w:p>
    <w:bookmarkStart w:id="61" w:name="_Toc4649"/>
    <w:bookmarkStart w:id="62" w:name="_Toc30709"/>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5.1 运营方案</w:t>
      </w:r>
      <w:bookmarkEnd w:id="61"/>
      <w:bookmarkEnd w:id="62"/>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default" w:ascii="宋体" w:hAnsi="宋体" w:eastAsia="宋体" w:cs="宋体"/>
          <w:b/>
          <w:bCs/>
          <w:sz w:val="28"/>
          <w:szCs w:val="28"/>
          <w:lang w:val="en-US" w:eastAsia="zh-CN"/>
        </w:rPr>
      </w:pPr>
      <w:r>
        <w:rPr>
          <w:rFonts w:hint="eastAsia" w:ascii="宋体" w:hAnsi="宋体" w:eastAsia="宋体" w:cs="宋体"/>
          <w:b/>
          <w:bCs/>
          <w:sz w:val="28"/>
          <w:szCs w:val="28"/>
          <w:lang w:val="en-US" w:eastAsia="zh-CN"/>
        </w:rPr>
        <w:t>5.1.1 发展战略</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运营服务发展战略聚焦于打造全方位、高品质、智能化的源网荷储一体化运营服务体系，以满足不断增长的能源需求和日益提升的客户期望。首先，在能源供应方面，持续优化电源结构，提高清洁能源发电效率和稳定性，确保电力的持续可靠输出；同时，强化电网的智能化运维管理，运用先进的监测技术和数据分析手段，实时掌握电网运行状态，快速响应并解决故障问题，保障电力传输的安全高效。其次，针对用户侧，提供个性化的能源服务方案，深入了解不同用户的用电特性和需求，通过智能电表、控制系统等技术手段，帮助用户实现精细化的能源管理，如制定合理的用电计划、参与需求侧响应等，从而降低用户用电成本，提升能源使用效率。再者，充分发挥储能系统的调节作用，不仅在平抑电力波动、保障电能质量方面发挥关键效能，还积极参与电力辅助服务市场，挖掘储能的多重价值。此外，注重人才培养和技术创新，打造一支专业的运营服务团队，持续引进和研发先进的源网荷储技术，不断提升项目的运营管理水平和市场竞争力，以长期稳定的优质服务赢得客户信赖，树立行业标杆形象，推动项目在源网荷储领域的可持续发展，为能源转型和绿色发展贡献力量。</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5.1.2 项目运营服务</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1、发展方向</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运营服务将朝着智能化、高效化、定制化方向发展。在智能化上，引入先进的物联网、大数据与人工智能技术，对源网荷储各环节进行实时监测与精准调控，实现设备的智能运维和故障的自动诊断修复，提升系统整体运行效率与可靠性；高效化方面，通过优化能源调度策略，减少传输损耗，充分发挥储能的调峰填谷作用，确保能源在不同时段的合理分配与高效利用，降低运营成本；定制化则专注于满足不同用户的多样化需求，依据用户的用电习惯、生产特性等，为其量身打造能源管理方案，提供节能建议与技术支持，提升用户的能源使用效益与满意度，增强项目在市场中的竞争力，推动源网荷储一体化运营服务向更高水平迈进，更好地适应能源发展新趋势。</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5.1.3 维护维修方案</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1、设备维护方案</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（1）定期检查</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建立定期检查机制，对生产设备进行定期的检查和维护，发现设备的问题及时处理，减少生产故障的发生。</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（2）维护记录</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建立设备维护记录系统，记录每台设备的维护情况，便于日后的跟踪和管理。</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（3）设备保养</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定期对设备进行保养，及时更换磨损部件，加油加润，确保设备的正常运行。</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（4）人员培训</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对维护人员进行培训，提高其技能和知识水平，使其能够更好地进行设备维护和保养工作。</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2、设备维修方案</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（1）技术支持</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default"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建立技术支持渠道，与设备生产厂家建立联系，及时获取技术支持和解决方案，保证设备的正常运行。</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（2）维修团队</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建立专业的维修团队，由资深维修人员组成，能够及时、有效地解决设备故障。</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（3）维修备件库</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建立维修备件库，存放常用的维修备件，便于快速更换，加快修复设备的速度。</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（4）原因分析</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对设备故障进行原因分析，找出故障的根本原因，从而采取有针对性的措施，防止故障再次发生。</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建立科学的设备维护维修方案，通过人工监控和自动化工具，及时发现和解决可能存在的问题，确保设备的正常运行。同时，建立完善的管理和监督体系，确保方案实施的效果。</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5.1.4 运营服务方案</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default" w:ascii="宋体" w:hAnsi="宋体" w:eastAsia="宋体" w:cs="宋体"/>
          <w:snapToGrid/>
          <w:color w:val="auto"/>
          <w:spacing w:val="0"/>
          <w:w w:val="100"/>
          <w:kern w:val="2"/>
          <w:position w:val="0"/>
          <w:sz w:val="28"/>
          <w:szCs w:val="28"/>
          <w:lang w:val="en-US" w:eastAsia="zh-CN" w:bidi="zh-CN"/>
        </w:rPr>
      </w:pPr>
      <w:r>
        <w:rPr>
          <w:rFonts w:hint="default" w:ascii="宋体" w:hAnsi="宋体" w:eastAsia="宋体" w:cs="宋体"/>
          <w:snapToGrid/>
          <w:color w:val="auto"/>
          <w:spacing w:val="0"/>
          <w:w w:val="100"/>
          <w:kern w:val="2"/>
          <w:position w:val="0"/>
          <w:sz w:val="28"/>
          <w:szCs w:val="28"/>
          <w:lang w:val="en-US" w:eastAsia="zh-CN" w:bidi="zh-CN"/>
        </w:rPr>
        <w:t>本项目运营服务方案将围绕源网荷储一体化系统，构建全方位、精细化、智能化的服务体系，确保项目安全、稳定、高效运行，实现能源的优化配置和客户价值的最大化。</w:t>
      </w:r>
    </w:p>
    <w:p>
      <w:pPr>
        <w:keepNext w:val="false"/>
        <w:keepLines w:val="false"/>
        <w:pageBreakBefore w:val="false"/>
        <w:widowControl w:val="false"/>
        <w:pBdr>
          <w:bottom w:val="none" w:color="auto" w:sz="0" w:space="0"/>
        </w:pBdr>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default" w:ascii="宋体" w:hAnsi="宋体" w:eastAsia="宋体" w:cs="宋体"/>
          <w:snapToGrid/>
          <w:color w:val="auto"/>
          <w:spacing w:val="0"/>
          <w:w w:val="100"/>
          <w:kern w:val="2"/>
          <w:position w:val="0"/>
          <w:sz w:val="28"/>
          <w:szCs w:val="28"/>
          <w:lang w:val="en-US" w:eastAsia="zh-CN" w:bidi="zh-CN"/>
        </w:rPr>
      </w:pPr>
      <w:r>
        <w:rPr>
          <w:rFonts w:hint="default" w:ascii="宋体" w:hAnsi="宋体" w:eastAsia="宋体" w:cs="宋体"/>
          <w:snapToGrid/>
          <w:color w:val="auto"/>
          <w:spacing w:val="0"/>
          <w:w w:val="100"/>
          <w:kern w:val="2"/>
          <w:position w:val="0"/>
          <w:sz w:val="28"/>
          <w:szCs w:val="28"/>
          <w:lang w:val="en-US" w:eastAsia="zh-CN" w:bidi="zh-CN"/>
        </w:rPr>
        <w:t>在能源供应环节，我们将对各类电源进行科学管理与维护，包括对分布式光伏、风电以及传统火电（若有）等发电设备的日常巡检、预防性维护和故障抢修，确保发电效率和电能质量，根据天气和负荷变化灵活调整发电策略，优先保障清洁能源的充分利用。电网运营方面，通过安装智能监控系统，实时掌握电网的潮流分布、电压稳定性等关键指标，及时发现并解决潜在的安全隐患，利用先进的电力通信技术实现电网的自动化调度和快速故障隔离，保障电力传输的可靠性和连续性。负荷管理上，为用户提供智能电表和能源管理终端，帮助用户实时了解用电情况，根据用户的生产计划和用电需求，制定个性化的用电方案，引导用户错峰用电，积极参与需求侧响应项目，从而降低用户的用电成本，提高能源利用效率。储能系统运营中，将根据电网的负荷特性和电价波动，合理安排储能的充放电时间，在用电低谷期储存电能，在高峰时段释放，起到削峰填谷的作用，同时参与电网的调频、调压等辅助服务，提升电网的稳定性和电能质量。此外，我们还将建立专业的客户服务团队，24 小时响应客户的咨询、投诉和技术支持需求，定期为客户提供能源使用报告和节能建议，通过持续优化运营服务流程和技术创新，不断提升项目的运营效益和客户满意度，为项目的长期可持续发展奠定坚实基础，在源网荷储一体化领域树立良好的服务典范，推动能源行业的绿色、高效发展。</w:t>
      </w:r>
    </w:p>
    <w:bookmarkStart w:id="63" w:name="_Toc20585"/>
    <w:bookmarkStart w:id="64" w:name="_Toc27306"/>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rPr>
      </w:pPr>
      <w:r>
        <w:rPr>
          <w:rFonts w:hint="eastAsia" w:ascii="宋体" w:hAnsi="宋体" w:eastAsia="宋体" w:cs="宋体"/>
          <w:b/>
          <w:bCs/>
          <w:sz w:val="28"/>
          <w:szCs w:val="28"/>
        </w:rPr>
        <w:t>5.2 安全保障方案</w:t>
      </w:r>
      <w:bookmarkEnd w:id="63"/>
      <w:bookmarkEnd w:id="64"/>
    </w:p>
    <w:bookmarkStart w:id="65" w:name="_Toc2460"/>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5.2.1 运营中危险因素及危险程度</w:t>
      </w:r>
      <w:bookmarkEnd w:id="65"/>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新能源发电设备故障风险：太阳能光伏板可能出现热斑效应、组件老化损坏，风力发电机可能存在叶片断裂、齿轮箱故障等问题。这些故障一旦发生，不仅会导致发电中断，影响电力供应稳定性，还可能因设备部件掉落引发人员伤亡和财产损失。危险程度较高，尤其是在恶劣天气条件下或设备维护不及时的情况下，发生故障的概率会显著增加。</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电网波动与短路风险：由于分布式能源的接入以及负荷的动态变化，电网可能出现电压波动、频率异常甚至短路故障。这会影响电力传输质量，对用电设备造成损坏，严重时可能引发火灾，威胁整个项目区域的安全。其危险程度取决于电网保护装置的可靠性和故障排查处理的及时性，若保护机制失效，危险程度将急剧上升。</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储能系统安全风险：电化学储能装置如锂离子电池存在热失控、电解液泄漏、过充过放等安全隐患。热失控可能引发火灾甚至爆炸，危及周边人员和设施安全。而且储能系统在充放电过程中的能量管理若出现问题，也会影响其寿命和性能，进而影响整个源网荷储系统的稳定性。这种风险的危险程度极高，一旦发生事故，后果不堪设想。</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电力调度与控制系统故障风险：项目依赖先进的电力调度和控制系统来协调源网荷储各环节的运行，如果该系统遭受黑客攻击、软件漏洞或硬件故障，可能导致调度指令错误、数据丢失或系统瘫痪，使得整个电力系统失去控制，造成大面积停电和设备损坏，对生产生活造成严重影响，危险程度不容小觑。</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人为操作失误风险：运维人员在设备操作、检修、调试等过程中，可能因技能不足、违规操作或疏忽大意而引发事故，如误操作电气设备导致触电、误拉合开关引发电网故障等。虽然单个操作失误可能影响范围有限，但长期来看，人为因素引发事故的累积风险不可忽视，危险程度中等偏上，通过加强人员培训和安全管理可有效降低此类风险。</w:t>
      </w:r>
    </w:p>
    <w:bookmarkStart w:id="66" w:name="_Toc29166"/>
    <w:bookmarkStart w:id="67" w:name="_Toc11841"/>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rPr>
      </w:pPr>
      <w:r>
        <w:rPr>
          <w:rFonts w:hint="eastAsia" w:ascii="宋体" w:hAnsi="宋体" w:eastAsia="宋体" w:cs="宋体"/>
          <w:b/>
          <w:bCs/>
          <w:sz w:val="28"/>
          <w:szCs w:val="28"/>
        </w:rPr>
        <w:t>5.3 运营管理方案</w:t>
      </w:r>
      <w:bookmarkEnd w:id="66"/>
      <w:bookmarkEnd w:id="67"/>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5.3.1 项目组织</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为确保项目的建设能够顺利的进行、顺利实施，尽快的投入运营，早日的发挥其重要的价值所在，务必切实加强领导，做好项目的前期准备工作，确保项目的工程质量与进度的完善。</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本项目在建设期间，由建设单位组建建设领导小组，有效的负责项目的组织、协调与管理，并负责控制项目建设的进度、质量和投资。项目指挥部下设办公室、工程管理部、物资供应部、计划财务部等职能部门。</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5.3.2 劳动定员</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000000"/>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本项目建成后运营期</w:t>
      </w:r>
      <w:r>
        <w:rPr>
          <w:rFonts w:hint="eastAsia" w:ascii="宋体" w:hAnsi="宋体" w:eastAsia="宋体" w:cs="宋体"/>
          <w:snapToGrid/>
          <w:color w:val="000000"/>
          <w:spacing w:val="0"/>
          <w:w w:val="100"/>
          <w:kern w:val="2"/>
          <w:position w:val="0"/>
          <w:sz w:val="28"/>
          <w:szCs w:val="28"/>
          <w:lang w:val="en-US" w:eastAsia="zh-CN" w:bidi="zh-CN"/>
        </w:rPr>
        <w:t>间，运营公司需新增劳动定员4人。主要负责项目项目运营及对入驻企业的监管。</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5.3.3 人员素质要求</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高级管理人员如总经理、各部门经理、技术人员、管理人员由公司委任；中级管理人员，各车间经理、领班及技术骨干来源主要有三个渠道：一是由企业中挑选进行培训；二是从同行业中聘请，三是从应届专业学校毕业生中直接选拔。一般工作人员由公司内部调配解决，不足部分向社会公开招聘，择优录取。</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在筹建期间要安排好企业员工的培训，以便受训人员可及时投入到设备安装调试和试生产中。</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技术培训主要内容包括全员文化素质培训、生产管理培训、关键技术的应用培训、关键设备的操作与维修培训、产品研制开发培训、质量控制培训、安全培训等。培训对象包括生产工人、技术人员及管理人员。培训方式以国内为主，具体培训措施：</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1、组织理论知识学习，提高职工文化知识水平。</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2、在本项目投产前组织各类新增人员就地培训，上岗前要组织考核，择优上岗。</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3、聘请有实践经验的专家来厂现场指导传授技术。安排有实践经验的技术人员给不同岗位的干部工人上课，提高全员业务素质。</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4、企业主要负责人、主管设备、技术、安全的负责人及安全生产管理人员应具有行业相关经验，能够按规范要求进行管理，有能力对工作中出现的各种问题进行良好的处理。</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5、从业人员上岗前必须经过相关法规教育及相应技术培训，企业应建立培训及考核档案，企业负责人及生产、品质管理部门负责人还应接受相关专业培训。</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5.3.4 员工培训计划</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企业的管理人员、技术人员及生产人员的素质是企业形象的具体体现，特别是在市场经济的今天，从业人员的素质的高低是企业发展的关键。因此，本项目生产关键环节的有关人员，拟派到国内同类型中水回用综合项目地进行培训，其他人员由公司组织就地培训，请经验丰富的专业技术人员讲课，使生产人员能够掌握基础知识和基本技能，并要严格考核，持证上岗，培训人员应不少于一线操作人员中的60%—70%，培训时间应根据岗位操作的复杂程度确定，通常为1—2个月，人员培训工作一定要安排在设备调试前进行。</w:t>
      </w:r>
    </w:p>
    <w:bookmarkStart w:id="68" w:name="_Toc20554"/>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5.</w:t>
      </w:r>
      <w:r>
        <w:rPr>
          <w:rFonts w:hint="eastAsia" w:ascii="宋体" w:hAnsi="宋体" w:eastAsia="宋体" w:cs="宋体"/>
          <w:b/>
          <w:bCs/>
          <w:sz w:val="28"/>
          <w:szCs w:val="28"/>
          <w:lang w:val="en-US" w:eastAsia="zh-CN"/>
        </w:rPr>
        <w:t>3</w:t>
      </w:r>
      <w:r>
        <w:rPr>
          <w:rFonts w:hint="eastAsia" w:ascii="宋体" w:hAnsi="宋体" w:eastAsia="宋体" w:cs="宋体"/>
          <w:b/>
          <w:bCs/>
          <w:sz w:val="28"/>
          <w:szCs w:val="28"/>
        </w:rPr>
        <w:t>.</w:t>
      </w:r>
      <w:r>
        <w:rPr>
          <w:rFonts w:hint="eastAsia" w:ascii="宋体" w:hAnsi="宋体" w:eastAsia="宋体" w:cs="宋体"/>
          <w:b/>
          <w:bCs/>
          <w:sz w:val="28"/>
          <w:szCs w:val="28"/>
          <w:lang w:val="en-US" w:eastAsia="zh-CN"/>
        </w:rPr>
        <w:t>5</w:t>
      </w:r>
      <w:r>
        <w:rPr>
          <w:rFonts w:hint="eastAsia" w:ascii="宋体" w:hAnsi="宋体" w:eastAsia="宋体" w:cs="宋体"/>
          <w:b/>
          <w:bCs/>
          <w:sz w:val="28"/>
          <w:szCs w:val="28"/>
        </w:rPr>
        <w:t xml:space="preserve"> 安全生产责任制</w:t>
      </w:r>
      <w:bookmarkEnd w:id="68"/>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建立安全生产责任制是确保企业安全生产的基础。企业应该设立安全生产管理机构，明确各级领导和员工的安全生产职责，并制定相应的安全生产规章制度。这样可以使各级管理者和员工都明确自己的安全生产职责，提高整个企业的安全管理水平。同时，企业还应加强对员工的安全教育培训，提高员工的安全意识和安全技能。</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5.</w:t>
      </w:r>
      <w:r>
        <w:rPr>
          <w:rFonts w:hint="eastAsia" w:ascii="宋体" w:hAnsi="宋体" w:eastAsia="宋体" w:cs="宋体"/>
          <w:b/>
          <w:bCs/>
          <w:sz w:val="28"/>
          <w:szCs w:val="28"/>
          <w:lang w:val="en-US" w:eastAsia="zh-CN"/>
        </w:rPr>
        <w:t>3</w:t>
      </w:r>
      <w:r>
        <w:rPr>
          <w:rFonts w:hint="eastAsia" w:ascii="宋体" w:hAnsi="宋体" w:eastAsia="宋体" w:cs="宋体"/>
          <w:b/>
          <w:bCs/>
          <w:sz w:val="28"/>
          <w:szCs w:val="28"/>
        </w:rPr>
        <w:t>.</w:t>
      </w:r>
      <w:r>
        <w:rPr>
          <w:rFonts w:hint="eastAsia" w:ascii="宋体" w:hAnsi="宋体" w:eastAsia="宋体" w:cs="宋体"/>
          <w:b/>
          <w:bCs/>
          <w:sz w:val="28"/>
          <w:szCs w:val="28"/>
          <w:lang w:val="en-US" w:eastAsia="zh-CN"/>
        </w:rPr>
        <w:t>6</w:t>
      </w:r>
      <w:r>
        <w:rPr>
          <w:rFonts w:hint="eastAsia" w:ascii="宋体" w:hAnsi="宋体" w:eastAsia="宋体" w:cs="宋体"/>
          <w:b/>
          <w:bCs/>
          <w:sz w:val="28"/>
          <w:szCs w:val="28"/>
        </w:rPr>
        <w:t xml:space="preserve"> 建立安全管理机构</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安全管理机构是负责安全管理的组织机构，在企业中起着至关重要的作用。企业应该设立专门的安全管理机构，主要负责安全管理制度的制定和实施、安全生产资料管理、安全生产监督和检查等方面的工作。安全管理机构应拥有足够的权力和资源，能够有效地履行安全管理职责。</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5.</w:t>
      </w:r>
      <w:r>
        <w:rPr>
          <w:rFonts w:hint="eastAsia" w:ascii="宋体" w:hAnsi="宋体" w:eastAsia="宋体" w:cs="宋体"/>
          <w:b/>
          <w:bCs/>
          <w:sz w:val="28"/>
          <w:szCs w:val="28"/>
          <w:lang w:val="en-US" w:eastAsia="zh-CN"/>
        </w:rPr>
        <w:t>3</w:t>
      </w:r>
      <w:r>
        <w:rPr>
          <w:rFonts w:hint="eastAsia" w:ascii="宋体" w:hAnsi="宋体" w:eastAsia="宋体" w:cs="宋体"/>
          <w:b/>
          <w:bCs/>
          <w:sz w:val="28"/>
          <w:szCs w:val="28"/>
        </w:rPr>
        <w:t>.</w:t>
      </w:r>
      <w:r>
        <w:rPr>
          <w:rFonts w:hint="eastAsia" w:ascii="宋体" w:hAnsi="宋体" w:eastAsia="宋体" w:cs="宋体"/>
          <w:b/>
          <w:bCs/>
          <w:sz w:val="28"/>
          <w:szCs w:val="28"/>
          <w:lang w:val="en-US" w:eastAsia="zh-CN"/>
        </w:rPr>
        <w:t>7</w:t>
      </w:r>
      <w:r>
        <w:rPr>
          <w:rFonts w:hint="eastAsia" w:ascii="宋体" w:hAnsi="宋体" w:eastAsia="宋体" w:cs="宋体"/>
          <w:b/>
          <w:bCs/>
          <w:sz w:val="28"/>
          <w:szCs w:val="28"/>
        </w:rPr>
        <w:t xml:space="preserve"> 建立安全管理体系</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安全管理体系是安全管理的重要组成部分，包括安全制度、安全防范、安全监控和安全救援等方面。通过建立完善的安全管理体系，企业可以加强对生产过程中的安全控制，有效预防和应对各种安全风险。安全管理体系应根据企业的实际情况进行设计，保证其完整、系统、有效。</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5.</w:t>
      </w:r>
      <w:r>
        <w:rPr>
          <w:rFonts w:hint="eastAsia" w:ascii="宋体" w:hAnsi="宋体" w:eastAsia="宋体" w:cs="宋体"/>
          <w:b/>
          <w:bCs/>
          <w:sz w:val="28"/>
          <w:szCs w:val="28"/>
          <w:lang w:val="en-US" w:eastAsia="zh-CN"/>
        </w:rPr>
        <w:t>3</w:t>
      </w:r>
      <w:r>
        <w:rPr>
          <w:rFonts w:hint="eastAsia" w:ascii="宋体" w:hAnsi="宋体" w:eastAsia="宋体" w:cs="宋体"/>
          <w:b/>
          <w:bCs/>
          <w:sz w:val="28"/>
          <w:szCs w:val="28"/>
        </w:rPr>
        <w:t>.</w:t>
      </w:r>
      <w:r>
        <w:rPr>
          <w:rFonts w:hint="eastAsia" w:ascii="宋体" w:hAnsi="宋体" w:eastAsia="宋体" w:cs="宋体"/>
          <w:b/>
          <w:bCs/>
          <w:sz w:val="28"/>
          <w:szCs w:val="28"/>
          <w:lang w:val="en-US" w:eastAsia="zh-CN"/>
        </w:rPr>
        <w:t>8</w:t>
      </w:r>
      <w:r>
        <w:rPr>
          <w:rFonts w:hint="eastAsia" w:ascii="宋体" w:hAnsi="宋体" w:eastAsia="宋体" w:cs="宋体"/>
          <w:b/>
          <w:bCs/>
          <w:sz w:val="28"/>
          <w:szCs w:val="28"/>
        </w:rPr>
        <w:t xml:space="preserve"> 安全防范措施</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1、环境监测与风险控制</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获嘉县在推进本项目时，需要强化环境监管，确保项目在建设和运营过程中符合环保要求，减少对生态环境的影响。</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2、技术与设施升级</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采用先进的源网荷储理念，对园区内光伏和储能设备进行智能化管理，提高系统的安全性和可靠性。</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3、风险评估与管理</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建立风险评估体系，对项目可能面临的技术风险、市场风险、财务风险等进行评估，并制定相应的应对措施。</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4、公众参与与宣传教育</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提高公众对新能源电力及源网荷储模式的认知度，鼓励公众参与项目的监督和管理，同时通过宣传教育提高公众的环保意识和安全意识。</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5、加强员工培训和安全意识教育</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加强员工的安全培训和安全意识教育，确保操作人员能够正确的运用设备，并预防和处理安全事故。员工作业时提供必要的个人防护装备，如安全帽、防护眼镜、防滑鞋、防护服等。</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6、信息化管理及加强信息安全保护</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利用现代信息技术，建立智能化的管理系统，实现远程监控、数据分析和智能调度，提高管理效率和服务质量。采取多层次、多措施的信息安全保障体系，对数据进行分类备份、加密传输、审计监控等，防止数据被盗窃。</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5.</w:t>
      </w:r>
      <w:r>
        <w:rPr>
          <w:rFonts w:hint="eastAsia" w:ascii="宋体" w:hAnsi="宋体" w:eastAsia="宋体" w:cs="宋体"/>
          <w:b/>
          <w:bCs/>
          <w:sz w:val="28"/>
          <w:szCs w:val="28"/>
          <w:lang w:val="en-US" w:eastAsia="zh-CN"/>
        </w:rPr>
        <w:t>3.9</w:t>
      </w:r>
      <w:r>
        <w:rPr>
          <w:rFonts w:hint="eastAsia" w:ascii="宋体" w:hAnsi="宋体" w:eastAsia="宋体" w:cs="宋体"/>
          <w:b/>
          <w:bCs/>
          <w:sz w:val="28"/>
          <w:szCs w:val="28"/>
        </w:rPr>
        <w:t xml:space="preserve"> 项目应急管理预案</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1、应急响应机制</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根据实际情况建立应急响应机制。该机制包括应急组织架构、应急响应程序、应急调度指挥等方面。应急响应机制中要包括人员责任分工，产生应急事件时，每个应急小组成员要知道自己的职责和任务，并发挥自己的专业优势协助处理应急事件。</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2、应急预案制定</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在应急预案中对可能发生的应急事故进行分类、评估和判断。应急预案的制订要按照应急响应等级，明确应急工作的步骤和措施，以及一次性应急物资采购和物资储备计划、应急复工方案等。</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3、应急资源准备</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提前申购和储备物资和设备，准备充分、有序的应急物资，及时更新物资库存数。在应急预案制定的基础上建立物资应急储备体系，合理分配应急物资储备、物资采购和供应商选择及沟通等。预防与应急响应物资有关的问题。</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4、应急培训措施</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组织企业内部的应急培训，针对不同岗位的员工，开展不同层次、不同内容的应急培训。企业应急培训内容可以包括防范知识、急救抢救技能、危机公关和虚拟疏散等。</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5、应急调度和信息化</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建立应急调度与信息化系统，快速响应线上网络安全问题、IT设备故障问题等，并制定应急调度预案，明确应急处置的流程。同时应加强网络安全防御，利用信息化技术加强危险源信息预警和防范。</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6、应急演练</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定期开展应急演练，包括突发事件处理、防火演练、应急疏散演练等，确保预案的可行性和使用性。演练中的细节和业务流程应与预案的实操情况配合，以最大程度地发挥出应急预案的价值和效果。</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7、突发事件处理流程</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在突发事件处理流程中提前设计应急响应步骤和具体实施方案，建立应急指挥体系，明确人员职责、应急调度、物资储备、应急通讯和技术保障等，确保应急传递的快捷与准确，应急处理的及时与有效性。</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8、应急通讯和报警系统</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建立完备、连通的应急通讯和报警系统，综合利用网络通信设备、人员通讯设备等手段，确保应急信息及时传递，应急通讯系统的成功率和通畅度高。预警和警报的判断，能够准确和及时发布，为迅速响应和有效出击提供重要支持。</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9、规范记录和督查</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建立应急事件记录和督查制度，对应急情况进行详细记录，及时反馈和沟通。同时实时向管理层汇报应急事件情况，强化督查和检查效果，以不断完善具体的应急处置措施和应对经验。</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应急管理预案的详细性和全面性是保障企业安全的重要保障措施。企业应该认真执行应急管理预案，不断加强应急意识和应急响应能力，提高应急处置水平，以保障企业和人员的生命和资产安全。</w:t>
      </w:r>
    </w:p>
    <w:p>
      <w:pPr>
        <w:rPr>
          <w:rFonts w:hint="eastAsia" w:ascii="宋体" w:hAnsi="宋体" w:eastAsia="宋体" w:cs="宋体"/>
          <w:b/>
          <w:i w:val="false"/>
          <w:strike w:val="false"/>
          <w:color w:val="000000"/>
          <w:spacing w:val="0"/>
          <w:sz w:val="36"/>
          <w:u w:val="none"/>
          <w:vertAlign w:val="baseline"/>
          <w:lang w:val="en-US" w:eastAsia="zh-CN"/>
        </w:rPr>
      </w:pPr>
      <w:r>
        <w:rPr>
          <w:rFonts w:hint="eastAsia" w:ascii="宋体" w:hAnsi="宋体" w:eastAsia="宋体" w:cs="宋体"/>
          <w:b/>
          <w:i w:val="false"/>
          <w:strike w:val="false"/>
          <w:color w:val="000000"/>
          <w:spacing w:val="0"/>
          <w:sz w:val="36"/>
          <w:u w:val="none"/>
          <w:vertAlign w:val="baseline"/>
          <w:lang w:val="en-US" w:eastAsia="zh-CN"/>
        </w:rPr>
        <w:br w:type="page"/>
      </w:r>
    </w:p>
    <w:bookmarkStart w:id="69" w:name="_Toc8006"/>
    <w:bookmarkStart w:id="70" w:name="_Toc25672"/>
    <w:bookmarkStart w:id="71" w:name="_Toc16256"/>
    <w:p>
      <w:pPr>
        <w:keepNext w:val="false"/>
        <w:keepLines w:val="false"/>
        <w:pageBreakBefore w:val="false"/>
        <w:widowControl/>
        <w:kinsoku w:val="false"/>
        <w:wordWrap/>
        <w:overflowPunct/>
        <w:topLinePunct w:val="false"/>
        <w:autoSpaceDE w:val="false"/>
        <w:autoSpaceDN w:val="false"/>
        <w:bidi w:val="false"/>
        <w:adjustRightInd/>
        <w:snapToGrid/>
        <w:spacing w:before="0" w:beforeLines="100" w:after="0" w:afterLines="100" w:line="360" w:lineRule="auto"/>
        <w:jc w:val="center"/>
        <w:textAlignment w:val="baseline"/>
        <w:outlineLvl w:val="0"/>
        <w:rPr>
          <w:rFonts w:hint="eastAsia" w:ascii="宋体" w:hAnsi="宋体" w:eastAsia="宋体" w:cs="宋体"/>
          <w:b/>
          <w:bCs/>
          <w:sz w:val="36"/>
          <w:szCs w:val="36"/>
          <w:lang w:val="en-US" w:eastAsia="zh-CN"/>
        </w:rPr>
      </w:pPr>
      <w:r>
        <w:rPr>
          <w:rFonts w:hint="eastAsia" w:ascii="宋体" w:hAnsi="宋体" w:eastAsia="宋体" w:cs="宋体"/>
          <w:b/>
          <w:bCs/>
          <w:sz w:val="36"/>
          <w:szCs w:val="36"/>
          <w:lang w:val="en-US" w:eastAsia="zh-CN"/>
        </w:rPr>
        <w:t>第六章 项目投融资与财务方案</w:t>
      </w:r>
      <w:bookmarkEnd w:id="69"/>
      <w:bookmarkEnd w:id="70"/>
      <w:bookmarkEnd w:id="71"/>
    </w:p>
    <w:bookmarkStart w:id="72" w:name="_Toc11160"/>
    <w:bookmarkStart w:id="73" w:name="_Toc11271"/>
    <w:bookmarkStart w:id="74" w:name="_Toc2334"/>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rPr>
      </w:pPr>
      <w:r>
        <w:rPr>
          <w:rFonts w:hint="eastAsia" w:ascii="宋体" w:hAnsi="宋体" w:eastAsia="宋体" w:cs="宋体"/>
          <w:b/>
          <w:bCs/>
          <w:sz w:val="28"/>
          <w:szCs w:val="28"/>
        </w:rPr>
        <w:t>6.1 项目投资估算及说明</w:t>
      </w:r>
      <w:bookmarkEnd w:id="72"/>
      <w:bookmarkEnd w:id="73"/>
      <w:bookmarkEnd w:id="74"/>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6.1.1 工程概况</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ascii="宋体" w:hAnsi="宋体" w:eastAsia="宋体" w:cs="宋体"/>
          <w:i w:val="false"/>
          <w:strike w:val="false"/>
          <w:spacing w:val="0"/>
          <w:sz w:val="28"/>
          <w:u w:val="none"/>
        </w:rPr>
        <w:t>本项目在园区内工业厂房屋顶部署3000KW的分布式光伏发电系统，并配套建设用户侧储能设施，总规模达到9MW/18MWh。此外，项目还规划安装4个光伏充电桩，并同步实施园区绿化及其他相关配套工程，以及光伏与储能系统的配套建设。通过源网荷储一体化方案，本项目将直接将所发绿色电力供给新乡市腾飞纸业有限公司。该企业采用此清洁能源后，不仅能有效降低自身污染排放，还将有力推动可再生能源的应用与发展。这一综合性项目对于提升资源利用效率、减轻环境负担、以及助力绿色可持续发展目标的实现具有重要意义</w:t>
      </w:r>
      <w:r>
        <w:rPr>
          <w:rFonts w:hint="eastAsia" w:ascii="宋体" w:hAnsi="宋体" w:eastAsia="宋体" w:cs="宋体"/>
          <w:snapToGrid/>
          <w:color w:val="auto"/>
          <w:spacing w:val="0"/>
          <w:w w:val="100"/>
          <w:kern w:val="2"/>
          <w:position w:val="0"/>
          <w:sz w:val="28"/>
          <w:szCs w:val="28"/>
          <w:lang w:val="en-US" w:eastAsia="zh-CN" w:bidi="zh-CN"/>
        </w:rPr>
        <w:t>。</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6.1.2 编制依据</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《投资项目可行性研究报告》（计办投资〔2002〕15号）；</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《投资项目经济咨询评估指南》（咨经〔1998〕11号）；</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《建设工程工程量清单计价规范》（GB50500-2013）；</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《河南省市政工程预算定额》（HAA1-31-2016）；</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《河南省房屋建筑与装饰工程预算定额》（HA01-31-2016）；</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《河南省通用安装工程预算定额》（HA02-31-2016）；</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河南省有关造价文件。</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设备费用依据近期向制造厂询价计算。</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6.1.3 投资构成与估算参数</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项目投资主要是固定资产投资，其中固定资产投资由工程费用、工程建设其他费用、预备费、收购项资产和建设期利息五部分组成，详细情况如下。</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1、工程费用</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工程费用包括设备购置费，根据相同结构的类似工程计算，并参考现行市场材料价格和当地工程造价指数信息进行调整，以单方指标计入，具体如下。</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（1）设备购置费</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光伏设备；该项目设备主要光伏组件A级、逆变器、交流汇流箱、光伏支架、光伏直流电缆、MC4连接器、交流电缆、干式变压器（箱变)、光伏接入柜、并网柜、站用变电柜、10kV动态无功补偿装置、高压电缆、组件、电气安装、辅材等其他辅助设备，本项目建设光伏电站3MW。预计费用908.94万元。</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default"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储能设备；电池系统2000KWH、储能变流器、集装箱柜体、温控系统、消防系统、储能EMS、储能箱基础及连接电缆及其他附件设备。预计费用2521.62万元。</w:t>
      </w:r>
    </w:p>
    <w:p>
      <w:pPr>
        <w:snapToGrid/>
        <w:spacing w:before="157" w:after="157" w:line="240" w:lineRule="auto"/>
        <w:ind w:firstLine="550"/>
        <w:rPr/>
      </w:pPr>
      <w:r>
        <w:rPr>
          <w:rFonts w:ascii="宋体" w:hAnsi="宋体" w:eastAsia="宋体" w:cs="宋体"/>
          <w:i w:val="false"/>
          <w:strike w:val="false"/>
          <w:color w:val="000000"/>
          <w:sz w:val="28"/>
          <w:u w:val="none"/>
        </w:rPr>
        <w:t>（2）园区配套工程</w:t>
      </w:r>
    </w:p>
    <w:p>
      <w:pPr>
        <w:pBdr>
          <w:bottom w:val="none" w:color="auto" w:sz="0" w:space="0"/>
        </w:pBdr>
        <w:snapToGrid/>
        <w:spacing w:before="157" w:after="157" w:line="240" w:lineRule="auto"/>
        <w:ind w:firstLine="550"/>
        <w:rPr/>
      </w:pPr>
      <w:r>
        <w:rPr>
          <w:rFonts w:ascii="宋体" w:hAnsi="宋体" w:eastAsia="宋体" w:cs="宋体"/>
          <w:i w:val="false"/>
          <w:strike w:val="false"/>
          <w:color w:val="000000"/>
          <w:sz w:val="28"/>
          <w:u w:val="none"/>
        </w:rPr>
        <w:t>该项目室外工程主要包括：</w:t>
      </w:r>
      <w:r>
        <w:rPr>
          <w:rFonts w:ascii="宋体" w:hAnsi="宋体" w:eastAsia="宋体" w:cs="宋体"/>
          <w:i w:val="false"/>
          <w:strike w:val="false"/>
          <w:spacing w:val="0"/>
          <w:sz w:val="28"/>
          <w:u w:val="none"/>
        </w:rPr>
        <w:t>绿化等相关配套工程</w:t>
      </w:r>
      <w:r>
        <w:rPr>
          <w:rFonts w:ascii="宋体" w:hAnsi="宋体" w:eastAsia="宋体" w:cs="宋体"/>
          <w:i w:val="false"/>
          <w:strike w:val="false"/>
          <w:color w:val="000000"/>
          <w:sz w:val="28"/>
          <w:u w:val="none"/>
        </w:rPr>
        <w:t>、10kv储能变电站、中心配电室变压器2000KVA、光伏充电桩、60kv充电桩等，预计费用220.56万元。</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2、工程建设其他费用</w:t>
      </w:r>
    </w:p>
    <w:p>
      <w:pPr>
        <w:pBdr>
          <w:bottom w:val="none" w:color="auto" w:sz="0" w:space="0"/>
        </w:pBdr>
        <w:snapToGrid/>
        <w:spacing w:before="157" w:after="157" w:line="240" w:lineRule="auto"/>
        <w:ind w:firstLine="550"/>
        <w:rPr>
          <w:rFonts w:ascii="宋体" w:hAnsi="宋体" w:eastAsia="宋体" w:cs="宋体"/>
          <w:i w:val="false"/>
          <w:strike w:val="false"/>
          <w:color w:val="000000"/>
          <w:sz w:val="28"/>
          <w:u w:val="none"/>
        </w:rPr>
      </w:pPr>
      <w:r>
        <w:rPr>
          <w:rFonts w:ascii="宋体" w:hAnsi="宋体" w:eastAsia="宋体" w:cs="宋体"/>
          <w:i w:val="false"/>
          <w:strike w:val="false"/>
          <w:color w:val="000000"/>
          <w:sz w:val="28"/>
          <w:u w:val="none"/>
        </w:rPr>
        <w:t>本项目工程其他费用包括建设单位管理费、建设工程监理费、建设项目前期咨询费、工程勘察费、工程设计费、环境影响咨询服务费、场地准备及临时设施费、工程保险费、工程保险费、招标代理费、工程造价咨询费等。具体情况如下：</w:t>
      </w:r>
    </w:p>
    <w:p>
      <w:pPr>
        <w:pBdr>
          <w:bottom w:val="none" w:color="auto" w:sz="0" w:space="0"/>
        </w:pBdr>
        <w:snapToGrid/>
        <w:spacing w:before="157" w:after="157" w:line="240" w:lineRule="auto"/>
        <w:ind w:firstLine="550"/>
        <w:rPr>
          <w:rFonts w:ascii="宋体" w:hAnsi="宋体" w:eastAsia="宋体" w:cs="宋体"/>
          <w:i w:val="false"/>
          <w:strike w:val="false"/>
          <w:color w:val="000000"/>
          <w:sz w:val="28"/>
          <w:u w:val="none"/>
        </w:rPr>
      </w:pPr>
      <w:r>
        <w:rPr>
          <w:rFonts w:ascii="宋体" w:hAnsi="宋体" w:eastAsia="宋体" w:cs="宋体"/>
          <w:i w:val="false"/>
          <w:strike w:val="false"/>
          <w:color w:val="000000"/>
          <w:sz w:val="28"/>
          <w:u w:val="none"/>
        </w:rPr>
        <w:t>（1）建设单位管理费：</w:t>
      </w:r>
    </w:p>
    <w:p>
      <w:pPr>
        <w:pBdr>
          <w:bottom w:val="none" w:color="auto" w:sz="0" w:space="0"/>
        </w:pBdr>
        <w:snapToGrid/>
        <w:spacing w:before="157" w:after="157" w:line="240" w:lineRule="auto"/>
        <w:ind w:firstLine="550"/>
        <w:rPr>
          <w:rFonts w:ascii="宋体" w:hAnsi="宋体" w:eastAsia="宋体" w:cs="宋体"/>
          <w:i w:val="false"/>
          <w:strike w:val="false"/>
          <w:color w:val="000000"/>
          <w:sz w:val="28"/>
          <w:u w:val="none"/>
        </w:rPr>
      </w:pPr>
      <w:r>
        <w:rPr>
          <w:rFonts w:ascii="宋体" w:hAnsi="宋体" w:eastAsia="宋体" w:cs="宋体"/>
          <w:i w:val="false"/>
          <w:strike w:val="false"/>
          <w:color w:val="000000"/>
          <w:sz w:val="28"/>
          <w:u w:val="none"/>
        </w:rPr>
        <w:t>根据财建(2016)504号文结合实际情况计取按29.21万元计入。</w:t>
      </w:r>
    </w:p>
    <w:p>
      <w:pPr>
        <w:pBdr>
          <w:bottom w:val="none" w:color="auto" w:sz="0" w:space="0"/>
        </w:pBdr>
        <w:snapToGrid/>
        <w:spacing w:before="157" w:after="157" w:line="240" w:lineRule="auto"/>
        <w:ind w:firstLine="550"/>
        <w:rPr>
          <w:rFonts w:ascii="宋体" w:hAnsi="宋体" w:eastAsia="宋体" w:cs="宋体"/>
          <w:i w:val="false"/>
          <w:strike w:val="false"/>
          <w:color w:val="000000"/>
          <w:sz w:val="28"/>
          <w:u w:val="none"/>
        </w:rPr>
      </w:pPr>
      <w:r>
        <w:rPr>
          <w:rFonts w:ascii="宋体" w:hAnsi="宋体" w:eastAsia="宋体" w:cs="宋体"/>
          <w:i w:val="false"/>
          <w:strike w:val="false"/>
          <w:color w:val="000000"/>
          <w:sz w:val="28"/>
          <w:u w:val="none"/>
        </w:rPr>
        <w:t>（2）建设工程监理费：</w:t>
      </w:r>
    </w:p>
    <w:p>
      <w:pPr>
        <w:pBdr>
          <w:bottom w:val="none" w:color="auto" w:sz="0" w:space="0"/>
        </w:pBdr>
        <w:snapToGrid/>
        <w:spacing w:before="157" w:after="157" w:line="240" w:lineRule="auto"/>
        <w:ind w:firstLine="550"/>
        <w:rPr>
          <w:rFonts w:ascii="宋体" w:hAnsi="宋体" w:eastAsia="宋体" w:cs="宋体"/>
          <w:i w:val="false"/>
          <w:strike w:val="false"/>
          <w:color w:val="000000"/>
          <w:sz w:val="28"/>
          <w:u w:val="none"/>
        </w:rPr>
      </w:pPr>
      <w:r>
        <w:rPr>
          <w:rFonts w:ascii="宋体" w:hAnsi="宋体" w:eastAsia="宋体" w:cs="宋体"/>
          <w:i w:val="false"/>
          <w:strike w:val="false"/>
          <w:color w:val="000000"/>
          <w:sz w:val="28"/>
          <w:u w:val="none"/>
        </w:rPr>
        <w:t>根据发改价格（2015）299号、豫建监协（2015）19号文并结合实际情况按21.91万元计取。</w:t>
      </w:r>
    </w:p>
    <w:p>
      <w:pPr>
        <w:pBdr>
          <w:bottom w:val="none" w:color="auto" w:sz="0" w:space="0"/>
        </w:pBdr>
        <w:snapToGrid/>
        <w:spacing w:before="157" w:after="157" w:line="240" w:lineRule="auto"/>
        <w:ind w:firstLine="550"/>
        <w:rPr>
          <w:rFonts w:ascii="宋体" w:hAnsi="宋体" w:eastAsia="宋体" w:cs="宋体"/>
          <w:i w:val="false"/>
          <w:strike w:val="false"/>
          <w:color w:val="000000"/>
          <w:sz w:val="28"/>
          <w:u w:val="none"/>
        </w:rPr>
      </w:pPr>
      <w:r>
        <w:rPr>
          <w:rFonts w:ascii="宋体" w:hAnsi="宋体" w:eastAsia="宋体" w:cs="宋体"/>
          <w:i w:val="false"/>
          <w:strike w:val="false"/>
          <w:color w:val="000000"/>
          <w:sz w:val="28"/>
          <w:u w:val="none"/>
        </w:rPr>
        <w:t>（3）建设项目前期工作咨询费：</w:t>
      </w:r>
    </w:p>
    <w:p>
      <w:pPr>
        <w:pBdr>
          <w:bottom w:val="none" w:color="auto" w:sz="0" w:space="0"/>
        </w:pBdr>
        <w:snapToGrid/>
        <w:spacing w:before="157" w:after="157" w:line="240" w:lineRule="auto"/>
        <w:ind w:firstLine="550"/>
        <w:rPr>
          <w:rFonts w:ascii="宋体" w:hAnsi="宋体" w:eastAsia="宋体" w:cs="宋体"/>
          <w:i w:val="false"/>
          <w:strike w:val="false"/>
          <w:color w:val="000000"/>
          <w:sz w:val="28"/>
          <w:u w:val="none"/>
        </w:rPr>
      </w:pPr>
      <w:r>
        <w:rPr>
          <w:rFonts w:ascii="宋体" w:hAnsi="宋体" w:eastAsia="宋体" w:cs="宋体"/>
          <w:i w:val="false"/>
          <w:strike w:val="false"/>
          <w:color w:val="000000"/>
          <w:sz w:val="28"/>
          <w:u w:val="none"/>
        </w:rPr>
        <w:t>根据参考豫发改收费[2011]627号并结合实际情况按18.26万元计取。</w:t>
      </w:r>
    </w:p>
    <w:p>
      <w:pPr>
        <w:pBdr>
          <w:bottom w:val="none" w:color="auto" w:sz="0" w:space="0"/>
        </w:pBdr>
        <w:snapToGrid/>
        <w:spacing w:before="157" w:after="157" w:line="240" w:lineRule="auto"/>
        <w:ind w:firstLine="550"/>
        <w:rPr>
          <w:rFonts w:ascii="宋体" w:hAnsi="宋体" w:eastAsia="宋体" w:cs="宋体"/>
          <w:i w:val="false"/>
          <w:strike w:val="false"/>
          <w:color w:val="000000"/>
          <w:sz w:val="28"/>
          <w:u w:val="none"/>
        </w:rPr>
      </w:pPr>
      <w:r>
        <w:rPr>
          <w:rFonts w:ascii="宋体" w:hAnsi="宋体" w:eastAsia="宋体" w:cs="宋体"/>
          <w:i w:val="false"/>
          <w:strike w:val="false"/>
          <w:color w:val="000000"/>
          <w:sz w:val="28"/>
          <w:u w:val="none"/>
        </w:rPr>
        <w:t>（4）屋顶荷载检测费：</w:t>
      </w:r>
    </w:p>
    <w:p>
      <w:pPr>
        <w:pBdr>
          <w:bottom w:val="none" w:color="auto" w:sz="0" w:space="0"/>
        </w:pBdr>
        <w:snapToGrid/>
        <w:spacing w:before="157" w:after="157" w:line="240" w:lineRule="auto"/>
        <w:ind w:firstLine="550"/>
        <w:rPr>
          <w:rFonts w:ascii="宋体" w:hAnsi="宋体" w:eastAsia="宋体" w:cs="宋体"/>
          <w:i w:val="false"/>
          <w:strike w:val="false"/>
          <w:color w:val="000000"/>
          <w:sz w:val="28"/>
          <w:u w:val="none"/>
        </w:rPr>
      </w:pPr>
      <w:r>
        <w:rPr>
          <w:rFonts w:ascii="宋体" w:hAnsi="宋体" w:eastAsia="宋体" w:cs="宋体"/>
          <w:i w:val="false"/>
          <w:strike w:val="false"/>
          <w:color w:val="000000"/>
          <w:sz w:val="28"/>
          <w:u w:val="none"/>
        </w:rPr>
        <w:t>根据国家计委、根据发改价格[2015]299号文并结合实际情况按26.17万元计取。</w:t>
      </w:r>
    </w:p>
    <w:p>
      <w:pPr>
        <w:pBdr>
          <w:bottom w:val="none" w:color="auto" w:sz="0" w:space="0"/>
        </w:pBdr>
        <w:snapToGrid/>
        <w:spacing w:before="157" w:after="157" w:line="240" w:lineRule="auto"/>
        <w:ind w:firstLine="550"/>
        <w:rPr>
          <w:rFonts w:ascii="宋体" w:hAnsi="宋体" w:eastAsia="宋体" w:cs="宋体"/>
          <w:i w:val="false"/>
          <w:strike w:val="false"/>
          <w:color w:val="000000"/>
          <w:sz w:val="28"/>
          <w:u w:val="none"/>
        </w:rPr>
      </w:pPr>
      <w:r>
        <w:rPr>
          <w:rFonts w:ascii="宋体" w:hAnsi="宋体" w:eastAsia="宋体" w:cs="宋体"/>
          <w:i w:val="false"/>
          <w:strike w:val="false"/>
          <w:color w:val="000000"/>
          <w:sz w:val="28"/>
          <w:u w:val="none"/>
        </w:rPr>
        <w:t>（5）工程设计费：</w:t>
      </w:r>
    </w:p>
    <w:p>
      <w:pPr>
        <w:pBdr>
          <w:bottom w:val="none" w:color="auto" w:sz="0" w:space="0"/>
        </w:pBdr>
        <w:snapToGrid/>
        <w:spacing w:before="157" w:after="157" w:line="240" w:lineRule="auto"/>
        <w:ind w:firstLine="550"/>
        <w:rPr>
          <w:rFonts w:ascii="宋体" w:hAnsi="宋体" w:eastAsia="宋体" w:cs="宋体"/>
          <w:i w:val="false"/>
          <w:strike w:val="false"/>
          <w:color w:val="000000"/>
          <w:sz w:val="28"/>
          <w:u w:val="none"/>
        </w:rPr>
      </w:pPr>
      <w:r>
        <w:rPr>
          <w:rFonts w:ascii="宋体" w:hAnsi="宋体" w:eastAsia="宋体" w:cs="宋体"/>
          <w:i w:val="false"/>
          <w:strike w:val="false"/>
          <w:color w:val="000000"/>
          <w:sz w:val="28"/>
          <w:u w:val="none"/>
        </w:rPr>
        <w:t>根据国家计委、建设部计价格（2002）10号文及发改价格[2015]299号文并结合实际情况按36.51万元计取。</w:t>
      </w:r>
    </w:p>
    <w:p>
      <w:pPr>
        <w:pBdr>
          <w:bottom w:val="none" w:color="auto" w:sz="0" w:space="0"/>
        </w:pBdr>
        <w:snapToGrid/>
        <w:spacing w:before="157" w:after="157" w:line="240" w:lineRule="auto"/>
        <w:ind w:firstLine="550"/>
        <w:rPr>
          <w:rFonts w:ascii="宋体" w:hAnsi="宋体" w:eastAsia="宋体" w:cs="宋体"/>
          <w:i w:val="false"/>
          <w:strike w:val="false"/>
          <w:color w:val="000000"/>
          <w:sz w:val="28"/>
          <w:u w:val="none"/>
        </w:rPr>
      </w:pPr>
      <w:r>
        <w:rPr>
          <w:rFonts w:ascii="宋体" w:hAnsi="宋体" w:eastAsia="宋体" w:cs="宋体"/>
          <w:i w:val="false"/>
          <w:strike w:val="false"/>
          <w:color w:val="000000"/>
          <w:sz w:val="28"/>
          <w:u w:val="none"/>
        </w:rPr>
        <w:t>（6）环境影响咨询服务费：</w:t>
      </w:r>
    </w:p>
    <w:p>
      <w:pPr>
        <w:pBdr>
          <w:bottom w:val="none" w:color="auto" w:sz="0" w:space="0"/>
        </w:pBdr>
        <w:snapToGrid/>
        <w:spacing w:before="157" w:after="157" w:line="240" w:lineRule="auto"/>
        <w:ind w:firstLine="550"/>
        <w:rPr>
          <w:rFonts w:ascii="宋体" w:hAnsi="宋体" w:eastAsia="宋体" w:cs="宋体"/>
          <w:i w:val="false"/>
          <w:strike w:val="false"/>
          <w:color w:val="000000"/>
          <w:sz w:val="28"/>
          <w:u w:val="none"/>
        </w:rPr>
      </w:pPr>
      <w:r>
        <w:rPr>
          <w:rFonts w:ascii="宋体" w:hAnsi="宋体" w:eastAsia="宋体" w:cs="宋体"/>
          <w:i w:val="false"/>
          <w:strike w:val="false"/>
          <w:color w:val="000000"/>
          <w:sz w:val="28"/>
          <w:u w:val="none"/>
        </w:rPr>
        <w:t>根据发改价格[2015]299号及发改收费[2011]627号文并结合实际情况按7.30万元计取。</w:t>
      </w:r>
    </w:p>
    <w:p>
      <w:pPr>
        <w:pBdr>
          <w:bottom w:val="none" w:color="auto" w:sz="0" w:space="0"/>
        </w:pBdr>
        <w:snapToGrid/>
        <w:spacing w:before="157" w:after="157" w:line="240" w:lineRule="auto"/>
        <w:ind w:firstLine="550"/>
        <w:rPr>
          <w:rFonts w:ascii="宋体" w:hAnsi="宋体" w:eastAsia="宋体" w:cs="宋体"/>
          <w:i w:val="false"/>
          <w:strike w:val="false"/>
          <w:color w:val="000000"/>
          <w:sz w:val="28"/>
          <w:u w:val="none"/>
        </w:rPr>
      </w:pPr>
      <w:r>
        <w:rPr>
          <w:rFonts w:ascii="宋体" w:hAnsi="宋体" w:eastAsia="宋体" w:cs="宋体"/>
          <w:i w:val="false"/>
          <w:strike w:val="false"/>
          <w:color w:val="000000"/>
          <w:sz w:val="28"/>
          <w:u w:val="none"/>
        </w:rPr>
        <w:t>（7）场地准备费及临时设施费：</w:t>
      </w:r>
    </w:p>
    <w:p>
      <w:pPr>
        <w:pBdr>
          <w:bottom w:val="none" w:color="auto" w:sz="0" w:space="0"/>
        </w:pBdr>
        <w:snapToGrid/>
        <w:spacing w:before="157" w:after="157" w:line="240" w:lineRule="auto"/>
        <w:ind w:firstLine="550"/>
        <w:rPr>
          <w:rFonts w:ascii="宋体" w:hAnsi="宋体" w:eastAsia="宋体" w:cs="宋体"/>
          <w:i w:val="false"/>
          <w:strike w:val="false"/>
          <w:color w:val="000000"/>
          <w:sz w:val="28"/>
          <w:u w:val="none"/>
        </w:rPr>
      </w:pPr>
      <w:r>
        <w:rPr>
          <w:rFonts w:ascii="宋体" w:hAnsi="宋体" w:eastAsia="宋体" w:cs="宋体"/>
          <w:i w:val="false"/>
          <w:strike w:val="false"/>
          <w:color w:val="000000"/>
          <w:sz w:val="28"/>
          <w:u w:val="none"/>
        </w:rPr>
        <w:t>根据《市政工程投资估算编制办法》（建标〔2007〕164号）文并结合实际情况按25.56万元计取。</w:t>
      </w:r>
    </w:p>
    <w:p>
      <w:pPr>
        <w:pBdr>
          <w:bottom w:val="none" w:color="auto" w:sz="0" w:space="0"/>
        </w:pBdr>
        <w:snapToGrid/>
        <w:spacing w:before="157" w:after="157" w:line="240" w:lineRule="auto"/>
        <w:ind w:firstLine="550"/>
        <w:rPr>
          <w:rFonts w:ascii="宋体" w:hAnsi="宋体" w:eastAsia="宋体" w:cs="宋体"/>
          <w:i w:val="false"/>
          <w:strike w:val="false"/>
          <w:color w:val="000000"/>
          <w:sz w:val="28"/>
          <w:u w:val="none"/>
        </w:rPr>
      </w:pPr>
      <w:r>
        <w:rPr>
          <w:rFonts w:ascii="宋体" w:hAnsi="宋体" w:eastAsia="宋体" w:cs="宋体"/>
          <w:i w:val="false"/>
          <w:strike w:val="false"/>
          <w:color w:val="000000"/>
          <w:sz w:val="28"/>
          <w:u w:val="none"/>
        </w:rPr>
        <w:t>（8）工程保险费：</w:t>
      </w:r>
    </w:p>
    <w:p>
      <w:pPr>
        <w:pBdr>
          <w:bottom w:val="none" w:color="auto" w:sz="0" w:space="0"/>
        </w:pBdr>
        <w:snapToGrid/>
        <w:spacing w:before="157" w:after="157" w:line="240" w:lineRule="auto"/>
        <w:ind w:firstLine="550"/>
        <w:rPr>
          <w:rFonts w:ascii="宋体" w:hAnsi="宋体" w:eastAsia="宋体" w:cs="宋体"/>
          <w:i w:val="false"/>
          <w:strike w:val="false"/>
          <w:color w:val="000000"/>
          <w:sz w:val="28"/>
          <w:u w:val="none"/>
        </w:rPr>
      </w:pPr>
      <w:r>
        <w:rPr>
          <w:rFonts w:ascii="宋体" w:hAnsi="宋体" w:eastAsia="宋体" w:cs="宋体"/>
          <w:i w:val="false"/>
          <w:strike w:val="false"/>
          <w:color w:val="000000"/>
          <w:sz w:val="28"/>
          <w:u w:val="none"/>
        </w:rPr>
        <w:t>根据《保险法》《合同法》法律法规规定并结合实际情况按18.26万元计取。</w:t>
      </w:r>
    </w:p>
    <w:p>
      <w:pPr>
        <w:pBdr>
          <w:bottom w:val="none" w:color="auto" w:sz="0" w:space="0"/>
        </w:pBdr>
        <w:snapToGrid/>
        <w:spacing w:before="157" w:after="157" w:line="240" w:lineRule="auto"/>
        <w:ind w:firstLine="550"/>
        <w:rPr>
          <w:rFonts w:ascii="宋体" w:hAnsi="宋体" w:eastAsia="宋体" w:cs="宋体"/>
          <w:i w:val="false"/>
          <w:strike w:val="false"/>
          <w:color w:val="000000"/>
          <w:sz w:val="28"/>
          <w:u w:val="none"/>
        </w:rPr>
      </w:pPr>
      <w:r>
        <w:rPr>
          <w:rFonts w:ascii="宋体" w:hAnsi="宋体" w:eastAsia="宋体" w:cs="宋体"/>
          <w:i w:val="false"/>
          <w:strike w:val="false"/>
          <w:color w:val="000000"/>
          <w:sz w:val="28"/>
          <w:u w:val="none"/>
        </w:rPr>
        <w:t>（9）招标代理服务费：</w:t>
      </w:r>
    </w:p>
    <w:p>
      <w:pPr>
        <w:pBdr>
          <w:bottom w:val="none" w:color="auto" w:sz="0" w:space="0"/>
        </w:pBdr>
        <w:snapToGrid/>
        <w:spacing w:before="157" w:after="157" w:line="240" w:lineRule="auto"/>
        <w:ind w:firstLine="550"/>
        <w:rPr>
          <w:rFonts w:ascii="宋体" w:hAnsi="宋体" w:eastAsia="宋体" w:cs="宋体"/>
          <w:i w:val="false"/>
          <w:strike w:val="false"/>
          <w:color w:val="000000"/>
          <w:sz w:val="28"/>
          <w:u w:val="none"/>
        </w:rPr>
      </w:pPr>
      <w:r>
        <w:rPr>
          <w:rFonts w:ascii="宋体" w:hAnsi="宋体" w:eastAsia="宋体" w:cs="宋体"/>
          <w:i w:val="false"/>
          <w:strike w:val="false"/>
          <w:color w:val="000000"/>
          <w:sz w:val="28"/>
          <w:u w:val="none"/>
        </w:rPr>
        <w:t>根据参考豫发改收费[2011]627号文并结合市场情况按7.30万元计取。</w:t>
      </w:r>
    </w:p>
    <w:p>
      <w:pPr>
        <w:pBdr>
          <w:bottom w:val="none" w:color="auto" w:sz="0" w:space="0"/>
        </w:pBdr>
        <w:snapToGrid/>
        <w:spacing w:before="157" w:after="157" w:line="240" w:lineRule="auto"/>
        <w:ind w:firstLine="550"/>
        <w:rPr>
          <w:rFonts w:ascii="宋体" w:hAnsi="宋体" w:eastAsia="宋体" w:cs="宋体"/>
          <w:i w:val="false"/>
          <w:strike w:val="false"/>
          <w:color w:val="000000"/>
          <w:sz w:val="28"/>
          <w:u w:val="none"/>
        </w:rPr>
      </w:pPr>
      <w:r>
        <w:rPr>
          <w:rFonts w:ascii="宋体" w:hAnsi="宋体" w:eastAsia="宋体" w:cs="宋体"/>
          <w:i w:val="false"/>
          <w:strike w:val="false"/>
          <w:color w:val="000000"/>
          <w:sz w:val="28"/>
          <w:u w:val="none"/>
        </w:rPr>
        <w:t>（10）工程造价咨询费：</w:t>
      </w:r>
    </w:p>
    <w:p>
      <w:pPr>
        <w:pBdr>
          <w:bottom w:val="none" w:color="auto" w:sz="0" w:space="0"/>
        </w:pBdr>
        <w:snapToGrid/>
        <w:spacing w:before="157" w:after="157" w:line="240" w:lineRule="auto"/>
        <w:ind w:firstLine="550"/>
        <w:rPr>
          <w:rFonts w:ascii="宋体" w:hAnsi="宋体" w:eastAsia="宋体" w:cs="宋体"/>
          <w:i w:val="false"/>
          <w:strike w:val="false"/>
          <w:color w:val="000000"/>
          <w:sz w:val="28"/>
          <w:u w:val="none"/>
        </w:rPr>
      </w:pPr>
      <w:r>
        <w:rPr>
          <w:rFonts w:ascii="宋体" w:hAnsi="宋体" w:eastAsia="宋体" w:cs="宋体"/>
          <w:i w:val="false"/>
          <w:strike w:val="false"/>
          <w:color w:val="000000"/>
          <w:sz w:val="28"/>
          <w:u w:val="none"/>
        </w:rPr>
        <w:t>根据中价协〔2013〕35号文并结合实际情况按10.95万元计取。</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3、预备费</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基本预备费，以工程建设费与工程建设其他费用之和为基数，其中，基本预备费按照工程费用和工程其他费用之和5%计入，按192.63万元计取，涨价预备费按照0万元计取。</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4、建设期利息</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本项目建设期为0.5年（含建设期准备工作），计划2025年5月开工，预计2025年11月竣工，利率5.04%，建设期内按金融机构计息计划投入。</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6.1.4 投资估算和资金筹措</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1、投资估算</w:t>
      </w:r>
    </w:p>
    <w:p>
      <w:pPr>
        <w:pBdr>
          <w:bottom w:val="none" w:color="auto" w:sz="0" w:space="0"/>
        </w:pBdr>
        <w:snapToGrid/>
        <w:spacing w:line="240" w:lineRule="auto"/>
        <w:ind w:firstLineChars="200"/>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项目总投资</w:t>
      </w:r>
      <w:r>
        <w:rPr>
          <w:rFonts w:ascii="宋体" w:hAnsi="宋体" w:eastAsia="宋体" w:cs="宋体"/>
          <w:i w:val="false"/>
          <w:strike w:val="false"/>
          <w:spacing w:val="0"/>
          <w:sz w:val="28"/>
          <w:u w:val="none"/>
        </w:rPr>
        <w:t xml:space="preserve">4085.49 </w:t>
      </w:r>
      <w:r>
        <w:rPr>
          <w:rFonts w:hint="eastAsia" w:ascii="宋体" w:hAnsi="宋体" w:eastAsia="宋体" w:cs="宋体"/>
          <w:snapToGrid/>
          <w:color w:val="auto"/>
          <w:spacing w:val="0"/>
          <w:w w:val="100"/>
          <w:kern w:val="2"/>
          <w:position w:val="0"/>
          <w:sz w:val="28"/>
          <w:szCs w:val="28"/>
          <w:lang w:val="en-US" w:eastAsia="zh-CN" w:bidi="zh-CN"/>
        </w:rPr>
        <w:t>万元，其中项目工程费用3651.12万元，占总投资的89.37%；工程建设其它费用201.42万元，占总投资的4.93%；预备费192.63万元，占总投资的4.71%；建设期利息40.32万元，占总投资的0.99%。项目投资构成如下表所示:</w:t>
      </w:r>
    </w:p>
    <w:p>
      <w:pPr>
        <w:keepNext w:val="false"/>
        <w:keepLines w:val="false"/>
        <w:pageBreakBefore w:val="false"/>
        <w:widowControl/>
        <w:pBdr>
          <w:bottom w:val="none" w:color="auto" w:sz="0" w:space="0"/>
        </w:pBdr>
        <w:kinsoku w:val="false"/>
        <w:wordWrap/>
        <w:overflowPunct/>
        <w:topLinePunct w:val="false"/>
        <w:autoSpaceDE w:val="false"/>
        <w:autoSpaceDN w:val="false"/>
        <w:bidi w:val="false"/>
        <w:adjustRightInd/>
        <w:snapToGrid/>
        <w:spacing w:before="0" w:beforeLines="50" w:after="0" w:afterLines="50" w:line="360" w:lineRule="auto"/>
        <w:jc w:val="center"/>
        <w:textAlignment w:val="baseline"/>
        <w:rPr>
          <w:rFonts w:hint="eastAsia" w:ascii="宋体" w:hAnsi="宋体" w:eastAsia="宋体" w:cs="宋体"/>
          <w:b/>
          <w:bCs/>
          <w:sz w:val="28"/>
          <w:szCs w:val="28"/>
        </w:rPr>
      </w:pPr>
      <w:r>
        <w:rPr>
          <w:rFonts w:hint="eastAsia" w:ascii="宋体" w:hAnsi="宋体" w:eastAsia="宋体" w:cs="宋体"/>
          <w:b/>
          <w:bCs/>
          <w:sz w:val="28"/>
          <w:szCs w:val="28"/>
        </w:rPr>
        <w:t>表6-</w:t>
      </w:r>
      <w:r>
        <w:rPr>
          <w:rFonts w:hint="eastAsia" w:ascii="宋体" w:hAnsi="宋体" w:eastAsia="宋体" w:cs="宋体"/>
          <w:b/>
          <w:bCs/>
          <w:sz w:val="28"/>
          <w:szCs w:val="28"/>
          <w:lang w:val="en-US" w:eastAsia="zh-CN"/>
        </w:rPr>
        <w:t>1</w:t>
      </w:r>
      <w:r>
        <w:rPr>
          <w:rFonts w:hint="eastAsia" w:ascii="宋体" w:hAnsi="宋体" w:eastAsia="宋体" w:cs="宋体"/>
          <w:b/>
          <w:bCs/>
          <w:sz w:val="28"/>
          <w:szCs w:val="28"/>
        </w:rPr>
        <w:t>项目投资构成一览表</w:t>
      </w:r>
    </w:p>
    <w:tbl>
      <w:tblPr>
        <w:tblStyle w:val="0000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5"/>
        <w:gridCol w:w="2580"/>
        <w:gridCol w:w="1275"/>
        <w:gridCol w:w="900"/>
        <w:gridCol w:w="1440"/>
        <w:gridCol w:w="1710"/>
      </w:tblGrid>
      <w:tr>
        <w:trPr>
          <w:trHeight w:val="548" w:hRule="atLeast"/>
        </w:trPr>
        <w:tc>
          <w:tcPr>
            <w:tcW w:w="97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jc w:val="center"/>
              <w:rPr/>
            </w:pPr>
            <w:r>
              <w:rPr>
                <w:rFonts w:ascii="宋体" w:hAnsi="宋体" w:eastAsia="宋体" w:cs="宋体"/>
                <w:b/>
                <w:i w:val="false"/>
                <w:strike w:val="false"/>
                <w:color w:val="000000"/>
                <w:spacing w:val="0"/>
                <w:sz w:val="21"/>
                <w:u w:val="none"/>
                <w:vertAlign w:val="baseline"/>
              </w:rPr>
              <w:t>序号</w:t>
            </w:r>
          </w:p>
        </w:tc>
        <w:tc>
          <w:tcPr>
            <w:tcW w:w="2580" w:type="dxa"/>
            <w:tcBorders>
              <w:top w:val="single" w:color="000000" w:sz="6"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jc w:val="center"/>
              <w:rPr/>
            </w:pPr>
            <w:r>
              <w:rPr>
                <w:rFonts w:ascii="宋体" w:hAnsi="宋体" w:eastAsia="宋体" w:cs="宋体"/>
                <w:b/>
                <w:i w:val="false"/>
                <w:strike w:val="false"/>
                <w:color w:val="000000"/>
                <w:spacing w:val="0"/>
                <w:sz w:val="21"/>
                <w:u w:val="none"/>
                <w:vertAlign w:val="baseline"/>
              </w:rPr>
              <w:t>工程或费用名称</w:t>
            </w:r>
          </w:p>
        </w:tc>
        <w:tc>
          <w:tcPr>
            <w:tcW w:w="1275" w:type="dxa"/>
            <w:tcBorders>
              <w:top w:val="single" w:color="000000" w:sz="6"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jc w:val="center"/>
              <w:rPr/>
            </w:pPr>
            <w:r>
              <w:rPr>
                <w:rFonts w:ascii="宋体" w:hAnsi="宋体" w:eastAsia="宋体" w:cs="宋体"/>
                <w:b/>
                <w:i w:val="false"/>
                <w:strike w:val="false"/>
                <w:color w:val="000000"/>
                <w:spacing w:val="0"/>
                <w:sz w:val="21"/>
                <w:u w:val="none"/>
                <w:vertAlign w:val="baseline"/>
              </w:rPr>
              <w:t>合计</w:t>
            </w:r>
          </w:p>
        </w:tc>
        <w:tc>
          <w:tcPr>
            <w:tcW w:w="900" w:type="dxa"/>
            <w:tcBorders>
              <w:top w:val="single" w:color="000000" w:sz="6"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jc w:val="center"/>
              <w:rPr/>
            </w:pPr>
            <w:r>
              <w:rPr>
                <w:rFonts w:ascii="宋体" w:hAnsi="宋体" w:eastAsia="宋体" w:cs="宋体"/>
                <w:b/>
                <w:i w:val="false"/>
                <w:strike w:val="false"/>
                <w:color w:val="000000"/>
                <w:spacing w:val="0"/>
                <w:sz w:val="21"/>
                <w:u w:val="none"/>
                <w:vertAlign w:val="baseline"/>
              </w:rPr>
              <w:t>单位</w:t>
            </w:r>
          </w:p>
        </w:tc>
        <w:tc>
          <w:tcPr>
            <w:tcW w:w="1440" w:type="dxa"/>
            <w:tcBorders>
              <w:top w:val="single" w:color="000000" w:sz="6"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jc w:val="center"/>
              <w:rPr/>
            </w:pPr>
            <w:r>
              <w:rPr>
                <w:rFonts w:ascii="宋体" w:hAnsi="宋体" w:eastAsia="宋体" w:cs="宋体"/>
                <w:b/>
                <w:i w:val="false"/>
                <w:strike w:val="false"/>
                <w:color w:val="000000"/>
                <w:spacing w:val="0"/>
                <w:sz w:val="21"/>
                <w:u w:val="none"/>
                <w:vertAlign w:val="baseline"/>
              </w:rPr>
              <w:t>数量</w:t>
            </w:r>
          </w:p>
        </w:tc>
        <w:tc>
          <w:tcPr>
            <w:tcW w:w="1710" w:type="dxa"/>
            <w:tcBorders>
              <w:top w:val="single" w:color="000000" w:sz="6"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jc w:val="center"/>
              <w:rPr/>
            </w:pPr>
            <w:r>
              <w:rPr>
                <w:rFonts w:ascii="宋体" w:hAnsi="宋体" w:eastAsia="宋体" w:cs="宋体"/>
                <w:b/>
                <w:i w:val="false"/>
                <w:strike w:val="false"/>
                <w:color w:val="000000"/>
                <w:spacing w:val="0"/>
                <w:sz w:val="21"/>
                <w:u w:val="none"/>
                <w:vertAlign w:val="baseline"/>
              </w:rPr>
              <w:t>综合单价（万元）</w:t>
            </w:r>
          </w:p>
        </w:tc>
      </w:tr>
      <w:tr>
        <w:trPr>
          <w:trHeight w:val="240" w:hRule="atLeast"/>
        </w:trPr>
        <w:tc>
          <w:tcPr>
            <w:tcW w:w="975"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一</w:t>
            </w:r>
          </w:p>
        </w:tc>
        <w:tc>
          <w:tcPr>
            <w:tcW w:w="258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b/>
                <w:i w:val="false"/>
                <w:strike w:val="false"/>
                <w:color w:val="000000"/>
                <w:spacing w:val="0"/>
                <w:sz w:val="21"/>
                <w:u w:val="none"/>
                <w:vertAlign w:val="baseline"/>
              </w:rPr>
              <w:t>工程费用</w:t>
            </w:r>
          </w:p>
        </w:tc>
        <w:tc>
          <w:tcPr>
            <w:tcW w:w="127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b/>
                <w:i w:val="false"/>
                <w:strike w:val="false"/>
                <w:color w:val="000000"/>
                <w:spacing w:val="0"/>
                <w:sz w:val="21"/>
                <w:u w:val="none"/>
                <w:vertAlign w:val="baseline"/>
              </w:rPr>
              <w:t xml:space="preserve">3651.12 </w:t>
            </w:r>
          </w:p>
        </w:tc>
        <w:tc>
          <w:tcPr>
            <w:tcW w:w="4050" w:type="dxa"/>
            <w:gridSpan w:val="3"/>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b/>
                <w:i w:val="false"/>
                <w:strike w:val="false"/>
                <w:color w:val="000000"/>
                <w:spacing w:val="0"/>
                <w:sz w:val="21"/>
                <w:u w:val="none"/>
                <w:vertAlign w:val="baseline"/>
              </w:rPr>
              <w:t>89.37%</w:t>
            </w:r>
          </w:p>
        </w:tc>
      </w:tr>
      <w:tr>
        <w:trPr>
          <w:trHeight w:val="384" w:hRule="atLeast"/>
        </w:trPr>
        <w:tc>
          <w:tcPr>
            <w:tcW w:w="975"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b/>
                <w:i w:val="false"/>
                <w:strike w:val="false"/>
                <w:color w:val="000000"/>
                <w:spacing w:val="0"/>
                <w:sz w:val="21"/>
                <w:u w:val="none"/>
                <w:vertAlign w:val="baseline"/>
              </w:rPr>
              <w:t>（一）</w:t>
            </w:r>
          </w:p>
        </w:tc>
        <w:tc>
          <w:tcPr>
            <w:tcW w:w="258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b/>
                <w:i w:val="false"/>
                <w:strike w:val="false"/>
                <w:color w:val="000000"/>
                <w:spacing w:val="0"/>
                <w:sz w:val="21"/>
                <w:u w:val="none"/>
                <w:vertAlign w:val="baseline"/>
              </w:rPr>
              <w:t>光伏发电工程</w:t>
            </w:r>
          </w:p>
        </w:tc>
        <w:tc>
          <w:tcPr>
            <w:tcW w:w="127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 xml:space="preserve">3430.56 </w:t>
            </w:r>
          </w:p>
        </w:tc>
        <w:tc>
          <w:tcPr>
            <w:tcW w:w="4050" w:type="dxa"/>
            <w:gridSpan w:val="3"/>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b/>
                <w:i w:val="false"/>
                <w:strike w:val="false"/>
                <w:color w:val="000000"/>
                <w:spacing w:val="0"/>
                <w:sz w:val="21"/>
                <w:u w:val="none"/>
                <w:vertAlign w:val="baseline"/>
              </w:rPr>
              <w:t>83.97%</w:t>
            </w:r>
          </w:p>
        </w:tc>
      </w:tr>
      <w:tr>
        <w:trPr>
          <w:trHeight w:val="288" w:hRule="atLeast"/>
        </w:trPr>
        <w:tc>
          <w:tcPr>
            <w:tcW w:w="975"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b/>
                <w:i w:val="false"/>
                <w:strike w:val="false"/>
                <w:color w:val="000000"/>
                <w:spacing w:val="0"/>
                <w:sz w:val="21"/>
                <w:u w:val="none"/>
                <w:vertAlign w:val="baseline"/>
              </w:rPr>
              <w:t>1</w:t>
            </w:r>
          </w:p>
        </w:tc>
        <w:tc>
          <w:tcPr>
            <w:tcW w:w="258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b/>
                <w:i w:val="false"/>
                <w:strike w:val="false"/>
                <w:color w:val="000000"/>
                <w:spacing w:val="0"/>
                <w:sz w:val="21"/>
                <w:u w:val="none"/>
                <w:vertAlign w:val="baseline"/>
              </w:rPr>
              <w:t>光伏组件</w:t>
            </w:r>
          </w:p>
        </w:tc>
        <w:tc>
          <w:tcPr>
            <w:tcW w:w="127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b/>
                <w:i w:val="false"/>
                <w:strike w:val="false"/>
                <w:color w:val="000000"/>
                <w:spacing w:val="0"/>
                <w:sz w:val="21"/>
                <w:u w:val="none"/>
                <w:vertAlign w:val="baseline"/>
              </w:rPr>
              <w:t xml:space="preserve">908.94 </w:t>
            </w:r>
          </w:p>
        </w:tc>
        <w:tc>
          <w:tcPr>
            <w:tcW w:w="90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jc w:val="center"/>
              <w:rPr/>
            </w:pPr>
            <w:r>
              <w:rPr>
                <w:rFonts w:ascii="宋体" w:hAnsi="宋体" w:eastAsia="宋体" w:cs="宋体"/>
                <w:b/>
                <w:i w:val="false"/>
                <w:strike w:val="false"/>
                <w:color w:val="000000"/>
                <w:spacing w:val="0"/>
                <w:sz w:val="21"/>
                <w:u w:val="none"/>
                <w:vertAlign w:val="baseline"/>
              </w:rPr>
              <w:t>KW</w:t>
            </w:r>
          </w:p>
        </w:tc>
        <w:tc>
          <w:tcPr>
            <w:tcW w:w="1440" w:type="dxa"/>
            <w:tcBorders>
              <w:top w:val="single" w:color="000000" w:sz="6"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widowControl w:val="false"/>
              <w:snapToGrid/>
              <w:spacing w:before="0" w:after="0" w:line="240" w:lineRule="auto"/>
              <w:jc w:val="center"/>
              <w:rPr/>
            </w:pPr>
            <w:r>
              <w:rPr>
                <w:rFonts w:ascii="宋体" w:hAnsi="宋体" w:eastAsia="宋体" w:cs="宋体"/>
                <w:b/>
                <w:i w:val="false"/>
                <w:strike w:val="false"/>
                <w:color w:val="000000"/>
                <w:spacing w:val="0"/>
                <w:sz w:val="21"/>
                <w:u w:val="none"/>
                <w:vertAlign w:val="baseline"/>
              </w:rPr>
              <w:t>3000</w:t>
            </w:r>
          </w:p>
        </w:tc>
        <w:tc>
          <w:tcPr>
            <w:tcW w:w="1710" w:type="dxa"/>
            <w:tcBorders>
              <w:top w:val="single" w:color="000000" w:sz="6"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widowControl w:val="false"/>
              <w:snapToGrid/>
              <w:spacing w:before="0" w:after="0" w:line="240" w:lineRule="auto"/>
              <w:jc w:val="center"/>
              <w:rPr/>
            </w:pPr>
            <w:r>
              <w:rPr>
                <w:rFonts w:ascii="宋体" w:hAnsi="宋体" w:eastAsia="宋体" w:cs="宋体"/>
                <w:b/>
                <w:i w:val="false"/>
                <w:strike w:val="false"/>
                <w:color w:val="000000"/>
                <w:spacing w:val="0"/>
                <w:sz w:val="21"/>
                <w:u w:val="none"/>
                <w:vertAlign w:val="baseline"/>
              </w:rPr>
              <w:t xml:space="preserve">0.303 </w:t>
            </w:r>
          </w:p>
        </w:tc>
      </w:tr>
      <w:tr>
        <w:trPr>
          <w:trHeight w:val="288" w:hRule="atLeast"/>
        </w:trPr>
        <w:tc>
          <w:tcPr>
            <w:tcW w:w="975"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b/>
                <w:i w:val="false"/>
                <w:strike w:val="false"/>
                <w:color w:val="000000"/>
                <w:spacing w:val="0"/>
                <w:sz w:val="21"/>
                <w:u w:val="none"/>
                <w:vertAlign w:val="baseline"/>
              </w:rPr>
              <w:t>1.1</w:t>
            </w:r>
          </w:p>
        </w:tc>
        <w:tc>
          <w:tcPr>
            <w:tcW w:w="258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光伏组件A级</w:t>
            </w:r>
          </w:p>
        </w:tc>
        <w:tc>
          <w:tcPr>
            <w:tcW w:w="127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 xml:space="preserve">474.50 </w:t>
            </w:r>
          </w:p>
        </w:tc>
        <w:tc>
          <w:tcPr>
            <w:tcW w:w="90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块</w:t>
            </w:r>
          </w:p>
        </w:tc>
        <w:tc>
          <w:tcPr>
            <w:tcW w:w="1440"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 xml:space="preserve">5454.00 </w:t>
            </w:r>
          </w:p>
        </w:tc>
        <w:tc>
          <w:tcPr>
            <w:tcW w:w="1710"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 xml:space="preserve">0.09 </w:t>
            </w:r>
          </w:p>
        </w:tc>
      </w:tr>
      <w:tr>
        <w:trPr>
          <w:trHeight w:val="288" w:hRule="atLeast"/>
        </w:trPr>
        <w:tc>
          <w:tcPr>
            <w:tcW w:w="975"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b/>
                <w:i w:val="false"/>
                <w:strike w:val="false"/>
                <w:color w:val="000000"/>
                <w:spacing w:val="0"/>
                <w:sz w:val="21"/>
                <w:u w:val="none"/>
                <w:vertAlign w:val="baseline"/>
              </w:rPr>
              <w:t>1.2</w:t>
            </w:r>
          </w:p>
        </w:tc>
        <w:tc>
          <w:tcPr>
            <w:tcW w:w="258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逆变器</w:t>
            </w:r>
          </w:p>
        </w:tc>
        <w:tc>
          <w:tcPr>
            <w:tcW w:w="127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 xml:space="preserve">75.60 </w:t>
            </w:r>
          </w:p>
        </w:tc>
        <w:tc>
          <w:tcPr>
            <w:tcW w:w="90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台</w:t>
            </w:r>
          </w:p>
        </w:tc>
        <w:tc>
          <w:tcPr>
            <w:tcW w:w="1440"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 xml:space="preserve">27.00 </w:t>
            </w:r>
          </w:p>
        </w:tc>
        <w:tc>
          <w:tcPr>
            <w:tcW w:w="1710"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 xml:space="preserve">2.80 </w:t>
            </w:r>
          </w:p>
        </w:tc>
      </w:tr>
      <w:tr>
        <w:trPr>
          <w:trHeight w:val="288" w:hRule="atLeast"/>
        </w:trPr>
        <w:tc>
          <w:tcPr>
            <w:tcW w:w="975"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b/>
                <w:i w:val="false"/>
                <w:strike w:val="false"/>
                <w:color w:val="000000"/>
                <w:spacing w:val="0"/>
                <w:sz w:val="21"/>
                <w:u w:val="none"/>
                <w:vertAlign w:val="baseline"/>
              </w:rPr>
              <w:t>1.3</w:t>
            </w:r>
          </w:p>
        </w:tc>
        <w:tc>
          <w:tcPr>
            <w:tcW w:w="258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交流汇流箱</w:t>
            </w:r>
          </w:p>
        </w:tc>
        <w:tc>
          <w:tcPr>
            <w:tcW w:w="127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 xml:space="preserve">6.82 </w:t>
            </w:r>
          </w:p>
        </w:tc>
        <w:tc>
          <w:tcPr>
            <w:tcW w:w="90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台</w:t>
            </w:r>
          </w:p>
        </w:tc>
        <w:tc>
          <w:tcPr>
            <w:tcW w:w="1440"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 xml:space="preserve">6.00 </w:t>
            </w:r>
          </w:p>
        </w:tc>
        <w:tc>
          <w:tcPr>
            <w:tcW w:w="1710"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 xml:space="preserve">1.14 </w:t>
            </w:r>
          </w:p>
        </w:tc>
      </w:tr>
      <w:tr>
        <w:trPr>
          <w:trHeight w:val="288" w:hRule="atLeast"/>
        </w:trPr>
        <w:tc>
          <w:tcPr>
            <w:tcW w:w="975"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b/>
                <w:i w:val="false"/>
                <w:strike w:val="false"/>
                <w:color w:val="000000"/>
                <w:spacing w:val="0"/>
                <w:sz w:val="21"/>
                <w:u w:val="none"/>
                <w:vertAlign w:val="baseline"/>
              </w:rPr>
              <w:t>1.4</w:t>
            </w:r>
          </w:p>
        </w:tc>
        <w:tc>
          <w:tcPr>
            <w:tcW w:w="258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光伏支架及配件</w:t>
            </w:r>
          </w:p>
        </w:tc>
        <w:tc>
          <w:tcPr>
            <w:tcW w:w="127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 xml:space="preserve">78.44 </w:t>
            </w:r>
          </w:p>
        </w:tc>
        <w:tc>
          <w:tcPr>
            <w:tcW w:w="90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km</w:t>
            </w:r>
          </w:p>
        </w:tc>
        <w:tc>
          <w:tcPr>
            <w:tcW w:w="1440"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 xml:space="preserve">45.87 </w:t>
            </w:r>
          </w:p>
        </w:tc>
        <w:tc>
          <w:tcPr>
            <w:tcW w:w="1710"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 xml:space="preserve">1.71 </w:t>
            </w:r>
          </w:p>
        </w:tc>
      </w:tr>
      <w:tr>
        <w:trPr>
          <w:trHeight w:val="288" w:hRule="atLeast"/>
        </w:trPr>
        <w:tc>
          <w:tcPr>
            <w:tcW w:w="975"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b/>
                <w:i w:val="false"/>
                <w:strike w:val="false"/>
                <w:color w:val="000000"/>
                <w:spacing w:val="0"/>
                <w:sz w:val="21"/>
                <w:u w:val="none"/>
                <w:vertAlign w:val="baseline"/>
              </w:rPr>
              <w:t>1.5</w:t>
            </w:r>
          </w:p>
        </w:tc>
        <w:tc>
          <w:tcPr>
            <w:tcW w:w="258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光伏直流电缆</w:t>
            </w:r>
          </w:p>
        </w:tc>
        <w:tc>
          <w:tcPr>
            <w:tcW w:w="127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 xml:space="preserve">24.57 </w:t>
            </w:r>
          </w:p>
        </w:tc>
        <w:tc>
          <w:tcPr>
            <w:tcW w:w="90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km</w:t>
            </w:r>
          </w:p>
        </w:tc>
        <w:tc>
          <w:tcPr>
            <w:tcW w:w="1440"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 xml:space="preserve">63.00 </w:t>
            </w:r>
          </w:p>
        </w:tc>
        <w:tc>
          <w:tcPr>
            <w:tcW w:w="1710"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 xml:space="preserve">0.39 </w:t>
            </w:r>
          </w:p>
        </w:tc>
      </w:tr>
      <w:tr>
        <w:trPr>
          <w:trHeight w:val="288" w:hRule="atLeast"/>
        </w:trPr>
        <w:tc>
          <w:tcPr>
            <w:tcW w:w="975"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b/>
                <w:i w:val="false"/>
                <w:strike w:val="false"/>
                <w:color w:val="000000"/>
                <w:spacing w:val="0"/>
                <w:sz w:val="21"/>
                <w:u w:val="none"/>
                <w:vertAlign w:val="baseline"/>
              </w:rPr>
              <w:t>1.6</w:t>
            </w:r>
          </w:p>
        </w:tc>
        <w:tc>
          <w:tcPr>
            <w:tcW w:w="258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MC4连接器</w:t>
            </w:r>
          </w:p>
        </w:tc>
        <w:tc>
          <w:tcPr>
            <w:tcW w:w="127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 xml:space="preserve">0.71 </w:t>
            </w:r>
          </w:p>
        </w:tc>
        <w:tc>
          <w:tcPr>
            <w:tcW w:w="90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千套</w:t>
            </w:r>
          </w:p>
        </w:tc>
        <w:tc>
          <w:tcPr>
            <w:tcW w:w="1440"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 xml:space="preserve">1.12 </w:t>
            </w:r>
          </w:p>
        </w:tc>
        <w:tc>
          <w:tcPr>
            <w:tcW w:w="1710"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 xml:space="preserve">0.63 </w:t>
            </w:r>
          </w:p>
        </w:tc>
      </w:tr>
      <w:tr>
        <w:trPr>
          <w:trHeight w:val="288" w:hRule="atLeast"/>
        </w:trPr>
        <w:tc>
          <w:tcPr>
            <w:tcW w:w="975"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b/>
                <w:i w:val="false"/>
                <w:strike w:val="false"/>
                <w:color w:val="000000"/>
                <w:spacing w:val="0"/>
                <w:sz w:val="21"/>
                <w:u w:val="none"/>
                <w:vertAlign w:val="baseline"/>
              </w:rPr>
              <w:t>1.7</w:t>
            </w:r>
          </w:p>
        </w:tc>
        <w:tc>
          <w:tcPr>
            <w:tcW w:w="258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交流电缆</w:t>
            </w:r>
          </w:p>
        </w:tc>
        <w:tc>
          <w:tcPr>
            <w:tcW w:w="127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 xml:space="preserve">76.69 </w:t>
            </w:r>
          </w:p>
        </w:tc>
        <w:tc>
          <w:tcPr>
            <w:tcW w:w="90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km</w:t>
            </w:r>
          </w:p>
        </w:tc>
        <w:tc>
          <w:tcPr>
            <w:tcW w:w="1440"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 xml:space="preserve">4.13 </w:t>
            </w:r>
          </w:p>
        </w:tc>
        <w:tc>
          <w:tcPr>
            <w:tcW w:w="1710"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 xml:space="preserve">18.57 </w:t>
            </w:r>
          </w:p>
        </w:tc>
      </w:tr>
      <w:tr>
        <w:trPr>
          <w:trHeight w:val="288" w:hRule="atLeast"/>
        </w:trPr>
        <w:tc>
          <w:tcPr>
            <w:tcW w:w="975"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b/>
                <w:i w:val="false"/>
                <w:strike w:val="false"/>
                <w:color w:val="000000"/>
                <w:spacing w:val="0"/>
                <w:sz w:val="21"/>
                <w:u w:val="none"/>
                <w:vertAlign w:val="baseline"/>
              </w:rPr>
              <w:t>1.8</w:t>
            </w:r>
          </w:p>
        </w:tc>
        <w:tc>
          <w:tcPr>
            <w:tcW w:w="258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干式变压器（箱变)</w:t>
            </w:r>
          </w:p>
        </w:tc>
        <w:tc>
          <w:tcPr>
            <w:tcW w:w="127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 xml:space="preserve">12.15 </w:t>
            </w:r>
          </w:p>
        </w:tc>
        <w:tc>
          <w:tcPr>
            <w:tcW w:w="90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台</w:t>
            </w:r>
          </w:p>
        </w:tc>
        <w:tc>
          <w:tcPr>
            <w:tcW w:w="1440"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 xml:space="preserve">1.00 </w:t>
            </w:r>
          </w:p>
        </w:tc>
        <w:tc>
          <w:tcPr>
            <w:tcW w:w="1710"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 xml:space="preserve">12.15 </w:t>
            </w:r>
          </w:p>
        </w:tc>
      </w:tr>
      <w:tr>
        <w:trPr>
          <w:trHeight w:val="288" w:hRule="atLeast"/>
        </w:trPr>
        <w:tc>
          <w:tcPr>
            <w:tcW w:w="975"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b/>
                <w:i w:val="false"/>
                <w:strike w:val="false"/>
                <w:color w:val="000000"/>
                <w:spacing w:val="0"/>
                <w:sz w:val="21"/>
                <w:u w:val="none"/>
                <w:vertAlign w:val="baseline"/>
              </w:rPr>
              <w:t>1.9</w:t>
            </w:r>
          </w:p>
        </w:tc>
        <w:tc>
          <w:tcPr>
            <w:tcW w:w="258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光伏接入柜</w:t>
            </w:r>
          </w:p>
        </w:tc>
        <w:tc>
          <w:tcPr>
            <w:tcW w:w="127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 xml:space="preserve">2.49 </w:t>
            </w:r>
          </w:p>
        </w:tc>
        <w:tc>
          <w:tcPr>
            <w:tcW w:w="90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台</w:t>
            </w:r>
          </w:p>
        </w:tc>
        <w:tc>
          <w:tcPr>
            <w:tcW w:w="1440"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 xml:space="preserve">1.00 </w:t>
            </w:r>
          </w:p>
        </w:tc>
        <w:tc>
          <w:tcPr>
            <w:tcW w:w="1710"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 xml:space="preserve">2.49 </w:t>
            </w:r>
          </w:p>
        </w:tc>
      </w:tr>
      <w:tr>
        <w:trPr>
          <w:trHeight w:val="288" w:hRule="atLeast"/>
        </w:trPr>
        <w:tc>
          <w:tcPr>
            <w:tcW w:w="975"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b/>
                <w:i w:val="false"/>
                <w:strike w:val="false"/>
                <w:color w:val="000000"/>
                <w:spacing w:val="0"/>
                <w:sz w:val="21"/>
                <w:u w:val="none"/>
                <w:vertAlign w:val="baseline"/>
              </w:rPr>
              <w:t xml:space="preserve">1.10 </w:t>
            </w:r>
          </w:p>
        </w:tc>
        <w:tc>
          <w:tcPr>
            <w:tcW w:w="258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并网柜</w:t>
            </w:r>
          </w:p>
        </w:tc>
        <w:tc>
          <w:tcPr>
            <w:tcW w:w="127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 xml:space="preserve">2.70 </w:t>
            </w:r>
          </w:p>
        </w:tc>
        <w:tc>
          <w:tcPr>
            <w:tcW w:w="90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台</w:t>
            </w:r>
          </w:p>
        </w:tc>
        <w:tc>
          <w:tcPr>
            <w:tcW w:w="1440"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 xml:space="preserve">1.00 </w:t>
            </w:r>
          </w:p>
        </w:tc>
        <w:tc>
          <w:tcPr>
            <w:tcW w:w="1710"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 xml:space="preserve">2.70 </w:t>
            </w:r>
          </w:p>
        </w:tc>
      </w:tr>
      <w:tr>
        <w:trPr>
          <w:trHeight w:val="288" w:hRule="atLeast"/>
        </w:trPr>
        <w:tc>
          <w:tcPr>
            <w:tcW w:w="975"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b/>
                <w:i w:val="false"/>
                <w:strike w:val="false"/>
                <w:color w:val="000000"/>
                <w:spacing w:val="0"/>
                <w:sz w:val="21"/>
                <w:u w:val="none"/>
                <w:vertAlign w:val="baseline"/>
              </w:rPr>
              <w:t xml:space="preserve">1.11 </w:t>
            </w:r>
          </w:p>
        </w:tc>
        <w:tc>
          <w:tcPr>
            <w:tcW w:w="258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站用变电柜</w:t>
            </w:r>
          </w:p>
        </w:tc>
        <w:tc>
          <w:tcPr>
            <w:tcW w:w="127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 xml:space="preserve">1.93 </w:t>
            </w:r>
          </w:p>
        </w:tc>
        <w:tc>
          <w:tcPr>
            <w:tcW w:w="90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台</w:t>
            </w:r>
          </w:p>
        </w:tc>
        <w:tc>
          <w:tcPr>
            <w:tcW w:w="1440"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 xml:space="preserve">1.00 </w:t>
            </w:r>
          </w:p>
        </w:tc>
        <w:tc>
          <w:tcPr>
            <w:tcW w:w="1710"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 xml:space="preserve">1.93 </w:t>
            </w:r>
          </w:p>
        </w:tc>
      </w:tr>
      <w:tr>
        <w:trPr>
          <w:trHeight w:val="288" w:hRule="atLeast"/>
        </w:trPr>
        <w:tc>
          <w:tcPr>
            <w:tcW w:w="975"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b/>
                <w:i w:val="false"/>
                <w:strike w:val="false"/>
                <w:color w:val="000000"/>
                <w:spacing w:val="0"/>
                <w:sz w:val="21"/>
                <w:u w:val="none"/>
                <w:vertAlign w:val="baseline"/>
              </w:rPr>
              <w:t xml:space="preserve">1.12 </w:t>
            </w:r>
          </w:p>
        </w:tc>
        <w:tc>
          <w:tcPr>
            <w:tcW w:w="258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10kV动态无功补偿装置</w:t>
            </w:r>
          </w:p>
        </w:tc>
        <w:tc>
          <w:tcPr>
            <w:tcW w:w="127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 xml:space="preserve">18.04 </w:t>
            </w:r>
          </w:p>
        </w:tc>
        <w:tc>
          <w:tcPr>
            <w:tcW w:w="90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台</w:t>
            </w:r>
          </w:p>
        </w:tc>
        <w:tc>
          <w:tcPr>
            <w:tcW w:w="1440"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 xml:space="preserve">1.00 </w:t>
            </w:r>
          </w:p>
        </w:tc>
        <w:tc>
          <w:tcPr>
            <w:tcW w:w="1710"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 xml:space="preserve">18.04 </w:t>
            </w:r>
          </w:p>
        </w:tc>
      </w:tr>
      <w:tr>
        <w:trPr>
          <w:trHeight w:val="288" w:hRule="atLeast"/>
        </w:trPr>
        <w:tc>
          <w:tcPr>
            <w:tcW w:w="975"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b/>
                <w:i w:val="false"/>
                <w:strike w:val="false"/>
                <w:color w:val="000000"/>
                <w:spacing w:val="0"/>
                <w:sz w:val="21"/>
                <w:u w:val="none"/>
                <w:vertAlign w:val="baseline"/>
              </w:rPr>
              <w:t xml:space="preserve">1.13 </w:t>
            </w:r>
          </w:p>
        </w:tc>
        <w:tc>
          <w:tcPr>
            <w:tcW w:w="258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高压电缆</w:t>
            </w:r>
          </w:p>
        </w:tc>
        <w:tc>
          <w:tcPr>
            <w:tcW w:w="127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 xml:space="preserve">6.16 </w:t>
            </w:r>
          </w:p>
        </w:tc>
        <w:tc>
          <w:tcPr>
            <w:tcW w:w="90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m</w:t>
            </w:r>
          </w:p>
        </w:tc>
        <w:tc>
          <w:tcPr>
            <w:tcW w:w="1440"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 xml:space="preserve">108.00 </w:t>
            </w:r>
          </w:p>
        </w:tc>
        <w:tc>
          <w:tcPr>
            <w:tcW w:w="1710"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 xml:space="preserve">0.06 </w:t>
            </w:r>
          </w:p>
        </w:tc>
      </w:tr>
      <w:tr>
        <w:trPr>
          <w:trHeight w:val="288" w:hRule="atLeast"/>
        </w:trPr>
        <w:tc>
          <w:tcPr>
            <w:tcW w:w="975"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b/>
                <w:i w:val="false"/>
                <w:strike w:val="false"/>
                <w:color w:val="000000"/>
                <w:spacing w:val="0"/>
                <w:sz w:val="21"/>
                <w:u w:val="none"/>
                <w:vertAlign w:val="baseline"/>
              </w:rPr>
              <w:t xml:space="preserve">1.14 </w:t>
            </w:r>
          </w:p>
        </w:tc>
        <w:tc>
          <w:tcPr>
            <w:tcW w:w="258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土建基础</w:t>
            </w:r>
          </w:p>
        </w:tc>
        <w:tc>
          <w:tcPr>
            <w:tcW w:w="127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 xml:space="preserve">38.15 </w:t>
            </w:r>
          </w:p>
        </w:tc>
        <w:tc>
          <w:tcPr>
            <w:tcW w:w="90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项</w:t>
            </w:r>
          </w:p>
        </w:tc>
        <w:tc>
          <w:tcPr>
            <w:tcW w:w="1440"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 xml:space="preserve">1.00 </w:t>
            </w:r>
          </w:p>
        </w:tc>
        <w:tc>
          <w:tcPr>
            <w:tcW w:w="1710"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 xml:space="preserve">38.15 </w:t>
            </w:r>
          </w:p>
        </w:tc>
      </w:tr>
      <w:tr>
        <w:trPr>
          <w:trHeight w:val="288" w:hRule="atLeast"/>
        </w:trPr>
        <w:tc>
          <w:tcPr>
            <w:tcW w:w="975"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b/>
                <w:i w:val="false"/>
                <w:strike w:val="false"/>
                <w:color w:val="000000"/>
                <w:spacing w:val="0"/>
                <w:sz w:val="21"/>
                <w:u w:val="none"/>
                <w:vertAlign w:val="baseline"/>
              </w:rPr>
              <w:t xml:space="preserve">1.15 </w:t>
            </w:r>
          </w:p>
        </w:tc>
        <w:tc>
          <w:tcPr>
            <w:tcW w:w="258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组件、电气安装、辅材等</w:t>
            </w:r>
          </w:p>
        </w:tc>
        <w:tc>
          <w:tcPr>
            <w:tcW w:w="127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 xml:space="preserve">90.00 </w:t>
            </w:r>
          </w:p>
        </w:tc>
        <w:tc>
          <w:tcPr>
            <w:tcW w:w="90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KW</w:t>
            </w:r>
          </w:p>
        </w:tc>
        <w:tc>
          <w:tcPr>
            <w:tcW w:w="1440"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 xml:space="preserve">3000.00 </w:t>
            </w:r>
          </w:p>
        </w:tc>
        <w:tc>
          <w:tcPr>
            <w:tcW w:w="1710"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 xml:space="preserve">0.03 </w:t>
            </w:r>
          </w:p>
        </w:tc>
      </w:tr>
      <w:tr>
        <w:trPr>
          <w:trHeight w:val="384" w:hRule="atLeast"/>
        </w:trPr>
        <w:tc>
          <w:tcPr>
            <w:tcW w:w="975"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b/>
                <w:i w:val="false"/>
                <w:strike w:val="false"/>
                <w:color w:val="000000"/>
                <w:spacing w:val="0"/>
                <w:sz w:val="21"/>
                <w:u w:val="none"/>
                <w:vertAlign w:val="baseline"/>
              </w:rPr>
              <w:t>2</w:t>
            </w:r>
          </w:p>
        </w:tc>
        <w:tc>
          <w:tcPr>
            <w:tcW w:w="258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b/>
                <w:i w:val="false"/>
                <w:strike w:val="false"/>
                <w:color w:val="000000"/>
                <w:spacing w:val="0"/>
                <w:sz w:val="21"/>
                <w:u w:val="none"/>
                <w:vertAlign w:val="baseline"/>
              </w:rPr>
              <w:t>电池储能</w:t>
            </w:r>
          </w:p>
          <w:p>
            <w:pPr>
              <w:widowControl w:val="false"/>
              <w:snapToGrid/>
              <w:spacing w:before="0" w:after="0" w:line="240" w:lineRule="auto"/>
              <w:jc w:val="center"/>
              <w:rPr/>
            </w:pPr>
            <w:r>
              <w:rPr>
                <w:rFonts w:ascii="宋体" w:hAnsi="宋体" w:eastAsia="宋体" w:cs="宋体"/>
                <w:b/>
                <w:i w:val="false"/>
                <w:strike w:val="false"/>
                <w:color w:val="000000"/>
                <w:spacing w:val="0"/>
                <w:sz w:val="21"/>
                <w:u w:val="none"/>
                <w:vertAlign w:val="baseline"/>
              </w:rPr>
              <w:t>集装箱</w:t>
            </w:r>
          </w:p>
        </w:tc>
        <w:tc>
          <w:tcPr>
            <w:tcW w:w="127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b/>
                <w:i w:val="false"/>
                <w:strike w:val="false"/>
                <w:color w:val="000000"/>
                <w:spacing w:val="0"/>
                <w:sz w:val="21"/>
                <w:u w:val="none"/>
                <w:vertAlign w:val="baseline"/>
              </w:rPr>
              <w:t>2521.62</w:t>
            </w:r>
          </w:p>
        </w:tc>
        <w:tc>
          <w:tcPr>
            <w:tcW w:w="90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jc w:val="center"/>
              <w:rPr/>
            </w:pPr>
            <w:r>
              <w:rPr>
                <w:rFonts w:ascii="宋体" w:hAnsi="宋体" w:eastAsia="宋体" w:cs="宋体"/>
                <w:b/>
                <w:i w:val="false"/>
                <w:strike w:val="false"/>
                <w:color w:val="000000"/>
                <w:spacing w:val="0"/>
                <w:sz w:val="21"/>
                <w:u w:val="none"/>
                <w:vertAlign w:val="baseline"/>
              </w:rPr>
              <w:t>KWH</w:t>
            </w:r>
          </w:p>
        </w:tc>
        <w:tc>
          <w:tcPr>
            <w:tcW w:w="1440"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widowControl w:val="false"/>
              <w:snapToGrid/>
              <w:spacing w:before="0" w:after="0" w:line="240" w:lineRule="auto"/>
              <w:jc w:val="center"/>
              <w:rPr/>
            </w:pPr>
            <w:r>
              <w:rPr>
                <w:rFonts w:ascii="宋体" w:hAnsi="宋体" w:eastAsia="宋体" w:cs="宋体"/>
                <w:b/>
                <w:i w:val="false"/>
                <w:strike w:val="false"/>
                <w:color w:val="000000"/>
                <w:spacing w:val="0"/>
                <w:sz w:val="21"/>
                <w:u w:val="none"/>
                <w:vertAlign w:val="baseline"/>
              </w:rPr>
              <w:t>18000</w:t>
            </w:r>
          </w:p>
        </w:tc>
        <w:tc>
          <w:tcPr>
            <w:tcW w:w="1710"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widowControl w:val="false"/>
              <w:snapToGrid/>
              <w:spacing w:before="0" w:after="0" w:line="240" w:lineRule="auto"/>
              <w:jc w:val="center"/>
              <w:rPr/>
            </w:pPr>
            <w:r>
              <w:rPr>
                <w:rFonts w:ascii="宋体" w:hAnsi="宋体" w:eastAsia="宋体" w:cs="宋体"/>
                <w:b/>
                <w:i w:val="false"/>
                <w:strike w:val="false"/>
                <w:color w:val="000000"/>
                <w:spacing w:val="0"/>
                <w:sz w:val="21"/>
                <w:u w:val="none"/>
                <w:vertAlign w:val="baseline"/>
              </w:rPr>
              <w:t xml:space="preserve">0.1401 </w:t>
            </w:r>
          </w:p>
        </w:tc>
      </w:tr>
      <w:tr>
        <w:trPr>
          <w:trHeight w:val="288" w:hRule="atLeast"/>
        </w:trPr>
        <w:tc>
          <w:tcPr>
            <w:tcW w:w="975"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2.1</w:t>
            </w:r>
          </w:p>
        </w:tc>
        <w:tc>
          <w:tcPr>
            <w:tcW w:w="258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电池系统 2000KWH</w:t>
            </w:r>
          </w:p>
        </w:tc>
        <w:tc>
          <w:tcPr>
            <w:tcW w:w="127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1572.12</w:t>
            </w:r>
          </w:p>
        </w:tc>
        <w:tc>
          <w:tcPr>
            <w:tcW w:w="90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个</w:t>
            </w:r>
          </w:p>
        </w:tc>
        <w:tc>
          <w:tcPr>
            <w:tcW w:w="1440"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9</w:t>
            </w:r>
          </w:p>
        </w:tc>
        <w:tc>
          <w:tcPr>
            <w:tcW w:w="1710"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 xml:space="preserve">174.68 </w:t>
            </w:r>
          </w:p>
        </w:tc>
      </w:tr>
      <w:tr>
        <w:trPr>
          <w:trHeight w:val="288" w:hRule="atLeast"/>
        </w:trPr>
        <w:tc>
          <w:tcPr>
            <w:tcW w:w="975"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2.2</w:t>
            </w:r>
          </w:p>
        </w:tc>
        <w:tc>
          <w:tcPr>
            <w:tcW w:w="258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储能变流器</w:t>
            </w:r>
          </w:p>
        </w:tc>
        <w:tc>
          <w:tcPr>
            <w:tcW w:w="127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225</w:t>
            </w:r>
          </w:p>
        </w:tc>
        <w:tc>
          <w:tcPr>
            <w:tcW w:w="90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个</w:t>
            </w:r>
          </w:p>
        </w:tc>
        <w:tc>
          <w:tcPr>
            <w:tcW w:w="1440"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9</w:t>
            </w:r>
          </w:p>
        </w:tc>
        <w:tc>
          <w:tcPr>
            <w:tcW w:w="1710"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 xml:space="preserve">25.00 </w:t>
            </w:r>
          </w:p>
        </w:tc>
      </w:tr>
      <w:tr>
        <w:trPr>
          <w:trHeight w:val="288" w:hRule="atLeast"/>
        </w:trPr>
        <w:tc>
          <w:tcPr>
            <w:tcW w:w="975"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2.3</w:t>
            </w:r>
          </w:p>
        </w:tc>
        <w:tc>
          <w:tcPr>
            <w:tcW w:w="258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集装箱柜体</w:t>
            </w:r>
          </w:p>
        </w:tc>
        <w:tc>
          <w:tcPr>
            <w:tcW w:w="127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103.5</w:t>
            </w:r>
          </w:p>
        </w:tc>
        <w:tc>
          <w:tcPr>
            <w:tcW w:w="90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个</w:t>
            </w:r>
          </w:p>
        </w:tc>
        <w:tc>
          <w:tcPr>
            <w:tcW w:w="1440"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9</w:t>
            </w:r>
          </w:p>
        </w:tc>
        <w:tc>
          <w:tcPr>
            <w:tcW w:w="1710"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 xml:space="preserve">11.50 </w:t>
            </w:r>
          </w:p>
        </w:tc>
      </w:tr>
      <w:tr>
        <w:trPr>
          <w:trHeight w:val="288" w:hRule="atLeast"/>
        </w:trPr>
        <w:tc>
          <w:tcPr>
            <w:tcW w:w="975"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2.4</w:t>
            </w:r>
          </w:p>
        </w:tc>
        <w:tc>
          <w:tcPr>
            <w:tcW w:w="258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温控系统</w:t>
            </w:r>
          </w:p>
        </w:tc>
        <w:tc>
          <w:tcPr>
            <w:tcW w:w="127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108</w:t>
            </w:r>
          </w:p>
        </w:tc>
        <w:tc>
          <w:tcPr>
            <w:tcW w:w="90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个</w:t>
            </w:r>
          </w:p>
        </w:tc>
        <w:tc>
          <w:tcPr>
            <w:tcW w:w="1440"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9</w:t>
            </w:r>
          </w:p>
        </w:tc>
        <w:tc>
          <w:tcPr>
            <w:tcW w:w="1710"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 xml:space="preserve">12.00 </w:t>
            </w:r>
          </w:p>
        </w:tc>
      </w:tr>
      <w:tr>
        <w:trPr>
          <w:trHeight w:val="288" w:hRule="atLeast"/>
        </w:trPr>
        <w:tc>
          <w:tcPr>
            <w:tcW w:w="975"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2.5</w:t>
            </w:r>
          </w:p>
        </w:tc>
        <w:tc>
          <w:tcPr>
            <w:tcW w:w="258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消防系统</w:t>
            </w:r>
          </w:p>
        </w:tc>
        <w:tc>
          <w:tcPr>
            <w:tcW w:w="127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121.5</w:t>
            </w:r>
          </w:p>
        </w:tc>
        <w:tc>
          <w:tcPr>
            <w:tcW w:w="90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个</w:t>
            </w:r>
          </w:p>
        </w:tc>
        <w:tc>
          <w:tcPr>
            <w:tcW w:w="1440"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9</w:t>
            </w:r>
          </w:p>
        </w:tc>
        <w:tc>
          <w:tcPr>
            <w:tcW w:w="1710"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 xml:space="preserve">13.50 </w:t>
            </w:r>
          </w:p>
        </w:tc>
      </w:tr>
      <w:tr>
        <w:trPr>
          <w:trHeight w:val="288" w:hRule="atLeast"/>
        </w:trPr>
        <w:tc>
          <w:tcPr>
            <w:tcW w:w="975"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2.6</w:t>
            </w:r>
          </w:p>
        </w:tc>
        <w:tc>
          <w:tcPr>
            <w:tcW w:w="258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储能EMS</w:t>
            </w:r>
          </w:p>
        </w:tc>
        <w:tc>
          <w:tcPr>
            <w:tcW w:w="127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90</w:t>
            </w:r>
          </w:p>
        </w:tc>
        <w:tc>
          <w:tcPr>
            <w:tcW w:w="90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个</w:t>
            </w:r>
          </w:p>
        </w:tc>
        <w:tc>
          <w:tcPr>
            <w:tcW w:w="1440"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9</w:t>
            </w:r>
          </w:p>
        </w:tc>
        <w:tc>
          <w:tcPr>
            <w:tcW w:w="1710"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 xml:space="preserve">10.00 </w:t>
            </w:r>
          </w:p>
        </w:tc>
      </w:tr>
      <w:tr>
        <w:trPr>
          <w:trHeight w:val="288" w:hRule="atLeast"/>
        </w:trPr>
        <w:tc>
          <w:tcPr>
            <w:tcW w:w="975"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2.7</w:t>
            </w:r>
          </w:p>
        </w:tc>
        <w:tc>
          <w:tcPr>
            <w:tcW w:w="258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附件</w:t>
            </w:r>
          </w:p>
        </w:tc>
        <w:tc>
          <w:tcPr>
            <w:tcW w:w="127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76.5</w:t>
            </w:r>
          </w:p>
        </w:tc>
        <w:tc>
          <w:tcPr>
            <w:tcW w:w="90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个</w:t>
            </w:r>
          </w:p>
        </w:tc>
        <w:tc>
          <w:tcPr>
            <w:tcW w:w="1440"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9</w:t>
            </w:r>
          </w:p>
        </w:tc>
        <w:tc>
          <w:tcPr>
            <w:tcW w:w="1710"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 xml:space="preserve">8.50 </w:t>
            </w:r>
          </w:p>
        </w:tc>
      </w:tr>
      <w:tr>
        <w:trPr>
          <w:trHeight w:val="288" w:hRule="atLeast"/>
        </w:trPr>
        <w:tc>
          <w:tcPr>
            <w:tcW w:w="975"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2.8</w:t>
            </w:r>
          </w:p>
        </w:tc>
        <w:tc>
          <w:tcPr>
            <w:tcW w:w="258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储能箱基础及连接电缆</w:t>
            </w:r>
          </w:p>
        </w:tc>
        <w:tc>
          <w:tcPr>
            <w:tcW w:w="127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225</w:t>
            </w:r>
          </w:p>
        </w:tc>
        <w:tc>
          <w:tcPr>
            <w:tcW w:w="90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个</w:t>
            </w:r>
          </w:p>
        </w:tc>
        <w:tc>
          <w:tcPr>
            <w:tcW w:w="1440"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9</w:t>
            </w:r>
          </w:p>
        </w:tc>
        <w:tc>
          <w:tcPr>
            <w:tcW w:w="1710"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 xml:space="preserve">25.00 </w:t>
            </w:r>
          </w:p>
        </w:tc>
      </w:tr>
      <w:tr>
        <w:trPr>
          <w:trHeight w:val="288" w:hRule="atLeast"/>
        </w:trPr>
        <w:tc>
          <w:tcPr>
            <w:tcW w:w="975"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b/>
                <w:i w:val="false"/>
                <w:strike w:val="false"/>
                <w:color w:val="000000"/>
                <w:spacing w:val="0"/>
                <w:sz w:val="21"/>
                <w:u w:val="none"/>
                <w:vertAlign w:val="baseline"/>
              </w:rPr>
              <w:t>（二）</w:t>
            </w:r>
          </w:p>
        </w:tc>
        <w:tc>
          <w:tcPr>
            <w:tcW w:w="258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b/>
                <w:i w:val="false"/>
                <w:strike w:val="false"/>
                <w:color w:val="000000"/>
                <w:spacing w:val="0"/>
                <w:sz w:val="21"/>
                <w:u w:val="none"/>
                <w:vertAlign w:val="baseline"/>
              </w:rPr>
              <w:t>园区配套工程</w:t>
            </w:r>
          </w:p>
        </w:tc>
        <w:tc>
          <w:tcPr>
            <w:tcW w:w="127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b/>
                <w:i w:val="false"/>
                <w:strike w:val="false"/>
                <w:color w:val="000000"/>
                <w:spacing w:val="0"/>
                <w:sz w:val="21"/>
                <w:u w:val="none"/>
                <w:vertAlign w:val="baseline"/>
              </w:rPr>
              <w:t xml:space="preserve">220.56 </w:t>
            </w:r>
          </w:p>
        </w:tc>
        <w:tc>
          <w:tcPr>
            <w:tcW w:w="90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w:t>
            </w:r>
          </w:p>
        </w:tc>
        <w:tc>
          <w:tcPr>
            <w:tcW w:w="1440"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5551.3</w:t>
            </w:r>
          </w:p>
        </w:tc>
        <w:tc>
          <w:tcPr>
            <w:tcW w:w="1710"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0.227</w:t>
            </w:r>
          </w:p>
        </w:tc>
      </w:tr>
      <w:tr>
        <w:trPr>
          <w:trHeight w:val="288" w:hRule="atLeast"/>
        </w:trPr>
        <w:tc>
          <w:tcPr>
            <w:tcW w:w="975"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1</w:t>
            </w:r>
          </w:p>
        </w:tc>
        <w:tc>
          <w:tcPr>
            <w:tcW w:w="258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绿化等相关配套工程</w:t>
            </w:r>
          </w:p>
        </w:tc>
        <w:tc>
          <w:tcPr>
            <w:tcW w:w="127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 xml:space="preserve">48.18 </w:t>
            </w:r>
          </w:p>
        </w:tc>
        <w:tc>
          <w:tcPr>
            <w:tcW w:w="90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w:t>
            </w:r>
          </w:p>
        </w:tc>
        <w:tc>
          <w:tcPr>
            <w:tcW w:w="1440"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152</w:t>
            </w:r>
          </w:p>
        </w:tc>
        <w:tc>
          <w:tcPr>
            <w:tcW w:w="1710"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0.317</w:t>
            </w:r>
          </w:p>
        </w:tc>
      </w:tr>
      <w:tr>
        <w:trPr>
          <w:trHeight w:val="288" w:hRule="atLeast"/>
        </w:trPr>
        <w:tc>
          <w:tcPr>
            <w:tcW w:w="975"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2</w:t>
            </w:r>
          </w:p>
        </w:tc>
        <w:tc>
          <w:tcPr>
            <w:tcW w:w="258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10kv储能变电站</w:t>
            </w:r>
          </w:p>
        </w:tc>
        <w:tc>
          <w:tcPr>
            <w:tcW w:w="127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 xml:space="preserve">115.38 </w:t>
            </w:r>
          </w:p>
        </w:tc>
        <w:tc>
          <w:tcPr>
            <w:tcW w:w="900"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w:t>
            </w:r>
          </w:p>
        </w:tc>
        <w:tc>
          <w:tcPr>
            <w:tcW w:w="1440"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90</w:t>
            </w:r>
          </w:p>
        </w:tc>
        <w:tc>
          <w:tcPr>
            <w:tcW w:w="1710"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1.282</w:t>
            </w:r>
          </w:p>
        </w:tc>
      </w:tr>
      <w:tr>
        <w:trPr>
          <w:trHeight w:val="282" w:hRule="atLeast"/>
        </w:trPr>
        <w:tc>
          <w:tcPr>
            <w:tcW w:w="975"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3</w:t>
            </w:r>
          </w:p>
        </w:tc>
        <w:tc>
          <w:tcPr>
            <w:tcW w:w="258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中心配电室变压器2000KVA</w:t>
            </w:r>
          </w:p>
        </w:tc>
        <w:tc>
          <w:tcPr>
            <w:tcW w:w="127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25</w:t>
            </w:r>
          </w:p>
        </w:tc>
        <w:tc>
          <w:tcPr>
            <w:tcW w:w="900"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台</w:t>
            </w:r>
          </w:p>
        </w:tc>
        <w:tc>
          <w:tcPr>
            <w:tcW w:w="1440"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1</w:t>
            </w:r>
          </w:p>
        </w:tc>
        <w:tc>
          <w:tcPr>
            <w:tcW w:w="1710"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25</w:t>
            </w:r>
          </w:p>
        </w:tc>
      </w:tr>
      <w:tr>
        <w:trPr>
          <w:trHeight w:val="282" w:hRule="atLeast"/>
        </w:trPr>
        <w:tc>
          <w:tcPr>
            <w:tcW w:w="975"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4</w:t>
            </w:r>
          </w:p>
        </w:tc>
        <w:tc>
          <w:tcPr>
            <w:tcW w:w="258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光伏充电桩</w:t>
            </w:r>
          </w:p>
        </w:tc>
        <w:tc>
          <w:tcPr>
            <w:tcW w:w="127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32</w:t>
            </w:r>
          </w:p>
        </w:tc>
        <w:tc>
          <w:tcPr>
            <w:tcW w:w="900"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个</w:t>
            </w:r>
          </w:p>
        </w:tc>
        <w:tc>
          <w:tcPr>
            <w:tcW w:w="1440"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4</w:t>
            </w:r>
          </w:p>
        </w:tc>
        <w:tc>
          <w:tcPr>
            <w:tcW w:w="1710" w:type="dxa"/>
            <w:tcBorders>
              <w:top w:val="single" w:color="000000" w:sz="0" w:space="0"/>
              <w:left w:val="single" w:color="000000" w:sz="0" w:space="0"/>
              <w:bottom w:val="single" w:color="000000" w:sz="6" w:space="0"/>
              <w:right w:val="single" w:color="000000" w:sz="6" w:space="0"/>
            </w:tcBorders>
            <w:shd w:val="clear" w:color="auto" w:fill="FFFFFF"/>
            <w:tcMar>
              <w:top w:w="0" w:type="dxa"/>
              <w:left w:w="108" w:type="dxa"/>
              <w:bottom w:w="0" w:type="dxa"/>
              <w:right w:w="108"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8</w:t>
            </w:r>
          </w:p>
        </w:tc>
      </w:tr>
      <w:tr>
        <w:trPr>
          <w:trHeight w:val="282" w:hRule="atLeast"/>
        </w:trPr>
        <w:tc>
          <w:tcPr>
            <w:tcW w:w="975"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b/>
                <w:i w:val="false"/>
                <w:strike w:val="false"/>
                <w:color w:val="000000"/>
                <w:spacing w:val="0"/>
                <w:sz w:val="21"/>
                <w:u w:val="none"/>
                <w:vertAlign w:val="baseline"/>
              </w:rPr>
              <w:t>二</w:t>
            </w:r>
          </w:p>
        </w:tc>
        <w:tc>
          <w:tcPr>
            <w:tcW w:w="258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b/>
                <w:i w:val="false"/>
                <w:strike w:val="false"/>
                <w:color w:val="000000"/>
                <w:spacing w:val="0"/>
                <w:sz w:val="21"/>
                <w:u w:val="none"/>
                <w:vertAlign w:val="baseline"/>
              </w:rPr>
              <w:t>工程建设其他费用</w:t>
            </w:r>
          </w:p>
        </w:tc>
        <w:tc>
          <w:tcPr>
            <w:tcW w:w="127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b/>
                <w:i w:val="false"/>
                <w:strike w:val="false"/>
                <w:color w:val="000000"/>
                <w:spacing w:val="0"/>
                <w:sz w:val="21"/>
                <w:u w:val="none"/>
                <w:vertAlign w:val="baseline"/>
              </w:rPr>
              <w:t xml:space="preserve">201.42 </w:t>
            </w:r>
          </w:p>
        </w:tc>
        <w:tc>
          <w:tcPr>
            <w:tcW w:w="4050" w:type="dxa"/>
            <w:gridSpan w:val="3"/>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b/>
                <w:i w:val="false"/>
                <w:strike w:val="false"/>
                <w:color w:val="000000"/>
                <w:spacing w:val="0"/>
                <w:sz w:val="21"/>
                <w:u w:val="none"/>
                <w:vertAlign w:val="baseline"/>
              </w:rPr>
              <w:t>4.93%</w:t>
            </w:r>
          </w:p>
        </w:tc>
      </w:tr>
      <w:tr>
        <w:trPr>
          <w:trHeight w:val="282" w:hRule="atLeast"/>
        </w:trPr>
        <w:tc>
          <w:tcPr>
            <w:tcW w:w="975"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2</w:t>
            </w:r>
          </w:p>
        </w:tc>
        <w:tc>
          <w:tcPr>
            <w:tcW w:w="258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建设管理费</w:t>
            </w:r>
          </w:p>
        </w:tc>
        <w:tc>
          <w:tcPr>
            <w:tcW w:w="127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 xml:space="preserve">29.21 </w:t>
            </w:r>
          </w:p>
        </w:tc>
        <w:tc>
          <w:tcPr>
            <w:tcW w:w="4050" w:type="dxa"/>
            <w:gridSpan w:val="3"/>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rPr>
              <w:t> </w:t>
            </w:r>
          </w:p>
        </w:tc>
      </w:tr>
      <w:tr>
        <w:trPr>
          <w:trHeight w:val="282" w:hRule="atLeast"/>
        </w:trPr>
        <w:tc>
          <w:tcPr>
            <w:tcW w:w="975"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3</w:t>
            </w:r>
          </w:p>
        </w:tc>
        <w:tc>
          <w:tcPr>
            <w:tcW w:w="258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建设工程监理费</w:t>
            </w:r>
          </w:p>
        </w:tc>
        <w:tc>
          <w:tcPr>
            <w:tcW w:w="127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 xml:space="preserve">21.91 </w:t>
            </w:r>
          </w:p>
        </w:tc>
        <w:tc>
          <w:tcPr>
            <w:tcW w:w="4050" w:type="dxa"/>
            <w:gridSpan w:val="3"/>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rPr>
              <w:t> </w:t>
            </w:r>
          </w:p>
        </w:tc>
      </w:tr>
      <w:tr>
        <w:trPr>
          <w:trHeight w:val="282" w:hRule="atLeast"/>
        </w:trPr>
        <w:tc>
          <w:tcPr>
            <w:tcW w:w="975"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4</w:t>
            </w:r>
          </w:p>
        </w:tc>
        <w:tc>
          <w:tcPr>
            <w:tcW w:w="258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建设项目前期工作咨询费</w:t>
            </w:r>
          </w:p>
        </w:tc>
        <w:tc>
          <w:tcPr>
            <w:tcW w:w="127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 xml:space="preserve">18.26 </w:t>
            </w:r>
          </w:p>
        </w:tc>
        <w:tc>
          <w:tcPr>
            <w:tcW w:w="4050" w:type="dxa"/>
            <w:gridSpan w:val="3"/>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rPr>
              <w:t> </w:t>
            </w:r>
          </w:p>
        </w:tc>
      </w:tr>
      <w:tr>
        <w:trPr>
          <w:trHeight w:val="282" w:hRule="atLeast"/>
        </w:trPr>
        <w:tc>
          <w:tcPr>
            <w:tcW w:w="975"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5</w:t>
            </w:r>
          </w:p>
        </w:tc>
        <w:tc>
          <w:tcPr>
            <w:tcW w:w="258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屋顶荷载检测费</w:t>
            </w:r>
          </w:p>
        </w:tc>
        <w:tc>
          <w:tcPr>
            <w:tcW w:w="127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 xml:space="preserve">26.17 </w:t>
            </w:r>
          </w:p>
        </w:tc>
        <w:tc>
          <w:tcPr>
            <w:tcW w:w="4050" w:type="dxa"/>
            <w:gridSpan w:val="3"/>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rPr>
              <w:t> </w:t>
            </w:r>
          </w:p>
        </w:tc>
      </w:tr>
      <w:tr>
        <w:trPr>
          <w:trHeight w:val="282" w:hRule="atLeast"/>
        </w:trPr>
        <w:tc>
          <w:tcPr>
            <w:tcW w:w="975"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6</w:t>
            </w:r>
          </w:p>
        </w:tc>
        <w:tc>
          <w:tcPr>
            <w:tcW w:w="258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工程设计费</w:t>
            </w:r>
          </w:p>
        </w:tc>
        <w:tc>
          <w:tcPr>
            <w:tcW w:w="127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 xml:space="preserve">36.51 </w:t>
            </w:r>
          </w:p>
        </w:tc>
        <w:tc>
          <w:tcPr>
            <w:tcW w:w="4050" w:type="dxa"/>
            <w:gridSpan w:val="3"/>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rPr>
              <w:t> </w:t>
            </w:r>
          </w:p>
        </w:tc>
      </w:tr>
      <w:tr>
        <w:trPr>
          <w:trHeight w:val="342" w:hRule="atLeast"/>
        </w:trPr>
        <w:tc>
          <w:tcPr>
            <w:tcW w:w="975"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7</w:t>
            </w:r>
          </w:p>
        </w:tc>
        <w:tc>
          <w:tcPr>
            <w:tcW w:w="258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环境影响咨询服务费</w:t>
            </w:r>
          </w:p>
        </w:tc>
        <w:tc>
          <w:tcPr>
            <w:tcW w:w="127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 xml:space="preserve">7.30 </w:t>
            </w:r>
          </w:p>
        </w:tc>
        <w:tc>
          <w:tcPr>
            <w:tcW w:w="4050" w:type="dxa"/>
            <w:gridSpan w:val="3"/>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rPr>
              <w:t> </w:t>
            </w:r>
          </w:p>
        </w:tc>
      </w:tr>
      <w:tr>
        <w:trPr>
          <w:trHeight w:val="402" w:hRule="atLeast"/>
        </w:trPr>
        <w:tc>
          <w:tcPr>
            <w:tcW w:w="975"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8</w:t>
            </w:r>
          </w:p>
        </w:tc>
        <w:tc>
          <w:tcPr>
            <w:tcW w:w="258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场地准备费及临时设施费</w:t>
            </w:r>
          </w:p>
        </w:tc>
        <w:tc>
          <w:tcPr>
            <w:tcW w:w="127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 xml:space="preserve">25.56 </w:t>
            </w:r>
          </w:p>
        </w:tc>
        <w:tc>
          <w:tcPr>
            <w:tcW w:w="4050" w:type="dxa"/>
            <w:gridSpan w:val="3"/>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rPr>
              <w:t> </w:t>
            </w:r>
          </w:p>
        </w:tc>
      </w:tr>
      <w:tr>
        <w:trPr>
          <w:trHeight w:val="379" w:hRule="atLeast"/>
        </w:trPr>
        <w:tc>
          <w:tcPr>
            <w:tcW w:w="975"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9</w:t>
            </w:r>
          </w:p>
        </w:tc>
        <w:tc>
          <w:tcPr>
            <w:tcW w:w="258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工程保险费</w:t>
            </w:r>
          </w:p>
        </w:tc>
        <w:tc>
          <w:tcPr>
            <w:tcW w:w="127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 xml:space="preserve">18.26 </w:t>
            </w:r>
          </w:p>
        </w:tc>
        <w:tc>
          <w:tcPr>
            <w:tcW w:w="4050" w:type="dxa"/>
            <w:gridSpan w:val="3"/>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rPr>
              <w:t> </w:t>
            </w:r>
          </w:p>
        </w:tc>
      </w:tr>
      <w:tr>
        <w:trPr>
          <w:trHeight w:val="379" w:hRule="atLeast"/>
        </w:trPr>
        <w:tc>
          <w:tcPr>
            <w:tcW w:w="975"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10</w:t>
            </w:r>
          </w:p>
        </w:tc>
        <w:tc>
          <w:tcPr>
            <w:tcW w:w="258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招标代理服务费</w:t>
            </w:r>
          </w:p>
        </w:tc>
        <w:tc>
          <w:tcPr>
            <w:tcW w:w="127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 xml:space="preserve">7.30 </w:t>
            </w:r>
          </w:p>
        </w:tc>
        <w:tc>
          <w:tcPr>
            <w:tcW w:w="4050" w:type="dxa"/>
            <w:gridSpan w:val="3"/>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rPr>
              <w:t> </w:t>
            </w:r>
          </w:p>
        </w:tc>
      </w:tr>
      <w:tr>
        <w:trPr>
          <w:trHeight w:val="282" w:hRule="atLeast"/>
        </w:trPr>
        <w:tc>
          <w:tcPr>
            <w:tcW w:w="975"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11</w:t>
            </w:r>
          </w:p>
        </w:tc>
        <w:tc>
          <w:tcPr>
            <w:tcW w:w="258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造价咨询费</w:t>
            </w:r>
          </w:p>
        </w:tc>
        <w:tc>
          <w:tcPr>
            <w:tcW w:w="127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 xml:space="preserve">10.95 </w:t>
            </w:r>
          </w:p>
        </w:tc>
        <w:tc>
          <w:tcPr>
            <w:tcW w:w="900" w:type="dxa"/>
            <w:tcBorders>
              <w:top w:val="single" w:color="000000" w:sz="0" w:space="0"/>
              <w:left w:val="single" w:color="000000" w:sz="0" w:space="0"/>
              <w:bottom w:val="single" w:color="000000" w:sz="6" w:space="0"/>
              <w:right w:val="single" w:color="000000" w:sz="0"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b/>
                <w:i w:val="false"/>
                <w:strike w:val="false"/>
                <w:color w:val="000000"/>
                <w:spacing w:val="0"/>
                <w:sz w:val="21"/>
                <w:u w:val="none"/>
              </w:rPr>
              <w:t> </w:t>
            </w:r>
          </w:p>
        </w:tc>
        <w:tc>
          <w:tcPr>
            <w:tcW w:w="1440" w:type="dxa"/>
            <w:tcBorders>
              <w:top w:val="single" w:color="000000" w:sz="6" w:space="0"/>
              <w:left w:val="single" w:color="000000" w:sz="0" w:space="0"/>
              <w:bottom w:val="single" w:color="000000" w:sz="6" w:space="0"/>
              <w:right w:val="single" w:color="000000" w:sz="0"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b/>
                <w:i w:val="false"/>
                <w:strike w:val="false"/>
                <w:color w:val="000000"/>
                <w:spacing w:val="0"/>
                <w:sz w:val="21"/>
                <w:u w:val="none"/>
              </w:rPr>
              <w:t> </w:t>
            </w:r>
          </w:p>
        </w:tc>
        <w:tc>
          <w:tcPr>
            <w:tcW w:w="1710" w:type="dxa"/>
            <w:tcBorders>
              <w:top w:val="single" w:color="000000" w:sz="6"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b/>
                <w:i w:val="false"/>
                <w:strike w:val="false"/>
                <w:color w:val="000000"/>
                <w:spacing w:val="0"/>
                <w:sz w:val="21"/>
                <w:u w:val="none"/>
              </w:rPr>
              <w:t> </w:t>
            </w:r>
          </w:p>
        </w:tc>
      </w:tr>
      <w:tr>
        <w:trPr>
          <w:trHeight w:val="282" w:hRule="atLeast"/>
        </w:trPr>
        <w:tc>
          <w:tcPr>
            <w:tcW w:w="975"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b/>
                <w:i w:val="false"/>
                <w:strike w:val="false"/>
                <w:color w:val="000000"/>
                <w:spacing w:val="0"/>
                <w:sz w:val="21"/>
                <w:u w:val="none"/>
                <w:vertAlign w:val="baseline"/>
              </w:rPr>
              <w:t>三</w:t>
            </w:r>
          </w:p>
        </w:tc>
        <w:tc>
          <w:tcPr>
            <w:tcW w:w="258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b/>
                <w:i w:val="false"/>
                <w:strike w:val="false"/>
                <w:color w:val="000000"/>
                <w:spacing w:val="0"/>
                <w:sz w:val="21"/>
                <w:u w:val="none"/>
                <w:vertAlign w:val="baseline"/>
              </w:rPr>
              <w:t>预备费</w:t>
            </w:r>
          </w:p>
        </w:tc>
        <w:tc>
          <w:tcPr>
            <w:tcW w:w="127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b/>
                <w:i w:val="false"/>
                <w:strike w:val="false"/>
                <w:color w:val="000000"/>
                <w:spacing w:val="0"/>
                <w:sz w:val="21"/>
                <w:u w:val="none"/>
                <w:vertAlign w:val="baseline"/>
              </w:rPr>
              <w:t xml:space="preserve">192.63 </w:t>
            </w:r>
          </w:p>
        </w:tc>
        <w:tc>
          <w:tcPr>
            <w:tcW w:w="4050" w:type="dxa"/>
            <w:gridSpan w:val="3"/>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b/>
                <w:i w:val="false"/>
                <w:strike w:val="false"/>
                <w:color w:val="000000"/>
                <w:spacing w:val="0"/>
                <w:sz w:val="21"/>
                <w:u w:val="none"/>
                <w:vertAlign w:val="baseline"/>
              </w:rPr>
              <w:t>4.71%</w:t>
            </w:r>
          </w:p>
        </w:tc>
      </w:tr>
      <w:tr>
        <w:trPr>
          <w:trHeight w:val="282" w:hRule="atLeast"/>
        </w:trPr>
        <w:tc>
          <w:tcPr>
            <w:tcW w:w="975"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3.1</w:t>
            </w:r>
          </w:p>
        </w:tc>
        <w:tc>
          <w:tcPr>
            <w:tcW w:w="258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基本预备费</w:t>
            </w:r>
          </w:p>
        </w:tc>
        <w:tc>
          <w:tcPr>
            <w:tcW w:w="127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 xml:space="preserve">192.63 </w:t>
            </w:r>
          </w:p>
        </w:tc>
        <w:tc>
          <w:tcPr>
            <w:tcW w:w="4050" w:type="dxa"/>
            <w:gridSpan w:val="3"/>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（一+二）*5%</w:t>
            </w:r>
          </w:p>
        </w:tc>
      </w:tr>
      <w:tr>
        <w:trPr>
          <w:trHeight w:val="282" w:hRule="atLeast"/>
        </w:trPr>
        <w:tc>
          <w:tcPr>
            <w:tcW w:w="975"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3.2</w:t>
            </w:r>
          </w:p>
        </w:tc>
        <w:tc>
          <w:tcPr>
            <w:tcW w:w="258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涨价预备费</w:t>
            </w:r>
          </w:p>
        </w:tc>
        <w:tc>
          <w:tcPr>
            <w:tcW w:w="127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rPr>
              <w:t> </w:t>
            </w:r>
          </w:p>
        </w:tc>
        <w:tc>
          <w:tcPr>
            <w:tcW w:w="4050" w:type="dxa"/>
            <w:gridSpan w:val="3"/>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rPr>
              <w:t> </w:t>
            </w:r>
          </w:p>
        </w:tc>
      </w:tr>
      <w:tr>
        <w:trPr>
          <w:trHeight w:val="282" w:hRule="atLeast"/>
        </w:trPr>
        <w:tc>
          <w:tcPr>
            <w:tcW w:w="975"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b/>
                <w:i w:val="false"/>
                <w:strike w:val="false"/>
                <w:color w:val="000000"/>
                <w:spacing w:val="0"/>
                <w:sz w:val="21"/>
                <w:u w:val="none"/>
                <w:vertAlign w:val="baseline"/>
              </w:rPr>
              <w:t>四</w:t>
            </w:r>
          </w:p>
        </w:tc>
        <w:tc>
          <w:tcPr>
            <w:tcW w:w="258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b/>
                <w:i w:val="false"/>
                <w:strike w:val="false"/>
                <w:color w:val="000000"/>
                <w:spacing w:val="0"/>
                <w:sz w:val="21"/>
                <w:u w:val="none"/>
                <w:vertAlign w:val="baseline"/>
              </w:rPr>
              <w:t>建设投资合计</w:t>
            </w:r>
          </w:p>
        </w:tc>
        <w:tc>
          <w:tcPr>
            <w:tcW w:w="127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b/>
                <w:i w:val="false"/>
                <w:strike w:val="false"/>
                <w:color w:val="000000"/>
                <w:spacing w:val="0"/>
                <w:sz w:val="21"/>
                <w:u w:val="none"/>
                <w:vertAlign w:val="baseline"/>
              </w:rPr>
              <w:t xml:space="preserve">4045.17 </w:t>
            </w:r>
          </w:p>
        </w:tc>
        <w:tc>
          <w:tcPr>
            <w:tcW w:w="4050" w:type="dxa"/>
            <w:gridSpan w:val="3"/>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b/>
                <w:i w:val="false"/>
                <w:strike w:val="false"/>
                <w:color w:val="000000"/>
                <w:spacing w:val="0"/>
                <w:sz w:val="21"/>
                <w:u w:val="none"/>
                <w:vertAlign w:val="baseline"/>
              </w:rPr>
              <w:t>99.01%</w:t>
            </w:r>
          </w:p>
        </w:tc>
      </w:tr>
      <w:tr>
        <w:trPr>
          <w:trHeight w:val="282" w:hRule="atLeast"/>
        </w:trPr>
        <w:tc>
          <w:tcPr>
            <w:tcW w:w="975"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rPr>
              <w:t> </w:t>
            </w:r>
          </w:p>
        </w:tc>
        <w:tc>
          <w:tcPr>
            <w:tcW w:w="258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比例（%）</w:t>
            </w:r>
          </w:p>
        </w:tc>
        <w:tc>
          <w:tcPr>
            <w:tcW w:w="127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vertAlign w:val="baseline"/>
              </w:rPr>
              <w:t>100%</w:t>
            </w:r>
          </w:p>
        </w:tc>
        <w:tc>
          <w:tcPr>
            <w:tcW w:w="4050" w:type="dxa"/>
            <w:gridSpan w:val="3"/>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rPr>
              <w:t> </w:t>
            </w:r>
          </w:p>
        </w:tc>
      </w:tr>
      <w:tr>
        <w:trPr>
          <w:trHeight w:val="282" w:hRule="atLeast"/>
        </w:trPr>
        <w:tc>
          <w:tcPr>
            <w:tcW w:w="975"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b/>
                <w:i w:val="false"/>
                <w:strike w:val="false"/>
                <w:color w:val="000000"/>
                <w:spacing w:val="0"/>
                <w:sz w:val="21"/>
                <w:u w:val="none"/>
                <w:vertAlign w:val="baseline"/>
              </w:rPr>
              <w:t>五</w:t>
            </w:r>
          </w:p>
        </w:tc>
        <w:tc>
          <w:tcPr>
            <w:tcW w:w="258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b/>
                <w:i w:val="false"/>
                <w:strike w:val="false"/>
                <w:color w:val="000000"/>
                <w:spacing w:val="0"/>
                <w:sz w:val="21"/>
                <w:u w:val="none"/>
                <w:vertAlign w:val="baseline"/>
              </w:rPr>
              <w:t>建设期利息</w:t>
            </w:r>
          </w:p>
        </w:tc>
        <w:tc>
          <w:tcPr>
            <w:tcW w:w="127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b/>
                <w:i w:val="false"/>
                <w:strike w:val="false"/>
                <w:color w:val="000000"/>
                <w:spacing w:val="0"/>
                <w:sz w:val="21"/>
                <w:u w:val="none"/>
                <w:vertAlign w:val="baseline"/>
              </w:rPr>
              <w:t xml:space="preserve">40.32 </w:t>
            </w:r>
          </w:p>
        </w:tc>
        <w:tc>
          <w:tcPr>
            <w:tcW w:w="4050" w:type="dxa"/>
            <w:gridSpan w:val="3"/>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b/>
                <w:i w:val="false"/>
                <w:strike w:val="false"/>
                <w:color w:val="000000"/>
                <w:spacing w:val="0"/>
                <w:sz w:val="21"/>
                <w:u w:val="none"/>
                <w:vertAlign w:val="baseline"/>
              </w:rPr>
              <w:t>0.99%</w:t>
            </w:r>
          </w:p>
        </w:tc>
      </w:tr>
      <w:tr>
        <w:trPr>
          <w:trHeight w:val="282" w:hRule="atLeast"/>
        </w:trPr>
        <w:tc>
          <w:tcPr>
            <w:tcW w:w="975"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b/>
                <w:i w:val="false"/>
                <w:strike w:val="false"/>
                <w:color w:val="000000"/>
                <w:spacing w:val="0"/>
                <w:sz w:val="21"/>
                <w:u w:val="none"/>
                <w:vertAlign w:val="baseline"/>
              </w:rPr>
              <w:t>六</w:t>
            </w:r>
          </w:p>
        </w:tc>
        <w:tc>
          <w:tcPr>
            <w:tcW w:w="258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b/>
                <w:i w:val="false"/>
                <w:strike w:val="false"/>
                <w:color w:val="000000"/>
                <w:spacing w:val="0"/>
                <w:sz w:val="21"/>
                <w:u w:val="none"/>
                <w:vertAlign w:val="baseline"/>
              </w:rPr>
              <w:t>固定资产投资</w:t>
            </w:r>
          </w:p>
        </w:tc>
        <w:tc>
          <w:tcPr>
            <w:tcW w:w="127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b/>
                <w:i w:val="false"/>
                <w:strike w:val="false"/>
                <w:color w:val="000000"/>
                <w:spacing w:val="0"/>
                <w:sz w:val="21"/>
                <w:u w:val="none"/>
                <w:vertAlign w:val="baseline"/>
              </w:rPr>
              <w:t xml:space="preserve">4085.49 </w:t>
            </w:r>
          </w:p>
        </w:tc>
        <w:tc>
          <w:tcPr>
            <w:tcW w:w="4050" w:type="dxa"/>
            <w:gridSpan w:val="3"/>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b/>
                <w:i w:val="false"/>
                <w:strike w:val="false"/>
                <w:color w:val="000000"/>
                <w:spacing w:val="0"/>
                <w:sz w:val="21"/>
                <w:u w:val="none"/>
                <w:vertAlign w:val="baseline"/>
              </w:rPr>
              <w:t>100.00%</w:t>
            </w:r>
          </w:p>
        </w:tc>
      </w:tr>
      <w:tr>
        <w:trPr>
          <w:trHeight w:val="282" w:hRule="atLeast"/>
        </w:trPr>
        <w:tc>
          <w:tcPr>
            <w:tcW w:w="975" w:type="dxa"/>
            <w:tcBorders>
              <w:top w:val="single" w:color="000000" w:sz="0" w:space="0"/>
              <w:left w:val="single" w:color="000000" w:sz="6"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b/>
                <w:i w:val="false"/>
                <w:strike w:val="false"/>
                <w:color w:val="000000"/>
                <w:spacing w:val="0"/>
                <w:sz w:val="21"/>
                <w:u w:val="none"/>
                <w:vertAlign w:val="baseline"/>
              </w:rPr>
              <w:t>七</w:t>
            </w:r>
          </w:p>
        </w:tc>
        <w:tc>
          <w:tcPr>
            <w:tcW w:w="2580"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b/>
                <w:i w:val="false"/>
                <w:strike w:val="false"/>
                <w:color w:val="000000"/>
                <w:spacing w:val="0"/>
                <w:sz w:val="21"/>
                <w:u w:val="none"/>
                <w:vertAlign w:val="baseline"/>
              </w:rPr>
              <w:t>项目总投资</w:t>
            </w:r>
          </w:p>
        </w:tc>
        <w:tc>
          <w:tcPr>
            <w:tcW w:w="1275" w:type="dxa"/>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b/>
                <w:i w:val="false"/>
                <w:strike w:val="false"/>
                <w:color w:val="000000"/>
                <w:spacing w:val="0"/>
                <w:sz w:val="21"/>
                <w:u w:val="none"/>
                <w:vertAlign w:val="baseline"/>
              </w:rPr>
              <w:t xml:space="preserve">4085.49 </w:t>
            </w:r>
          </w:p>
        </w:tc>
        <w:tc>
          <w:tcPr>
            <w:tcW w:w="4050" w:type="dxa"/>
            <w:gridSpan w:val="3"/>
            <w:tcBorders>
              <w:top w:val="single" w:color="000000" w:sz="0" w:space="0"/>
              <w:left w:val="single" w:color="000000" w:sz="0" w:space="0"/>
              <w:bottom w:val="single" w:color="000000" w:sz="6" w:space="0"/>
              <w:right w:val="single" w:color="000000" w:sz="6" w:space="0"/>
            </w:tcBorders>
            <w:tcMar>
              <w:top w:w="0" w:type="dxa"/>
              <w:left w:w="108" w:type="dxa"/>
              <w:bottom w:w="0" w:type="dxa"/>
              <w:right w:w="108" w:type="dxa"/>
            </w:tcMar>
            <w:vAlign w:val="top"/>
          </w:tcPr>
          <w:p>
            <w:pPr>
              <w:widowControl w:val="false"/>
              <w:snapToGrid/>
              <w:spacing w:before="0" w:after="0" w:line="240" w:lineRule="auto"/>
              <w:jc w:val="center"/>
              <w:rPr/>
            </w:pPr>
            <w:r>
              <w:rPr>
                <w:rFonts w:ascii="宋体" w:hAnsi="宋体" w:eastAsia="宋体" w:cs="宋体"/>
                <w:b/>
                <w:i w:val="false"/>
                <w:strike w:val="false"/>
                <w:color w:val="000000"/>
                <w:spacing w:val="0"/>
                <w:sz w:val="21"/>
                <w:u w:val="none"/>
                <w:vertAlign w:val="baseline"/>
              </w:rPr>
              <w:t>100.00%</w:t>
            </w:r>
          </w:p>
        </w:tc>
      </w:tr>
    </w:tbl>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2、资金投入计划和筹措方案</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本项目总投资</w:t>
      </w:r>
      <w:r>
        <w:rPr>
          <w:rFonts w:ascii="宋体" w:hAnsi="宋体" w:eastAsia="宋体" w:cs="宋体"/>
          <w:i w:val="false"/>
          <w:strike w:val="false"/>
          <w:spacing w:val="0"/>
          <w:sz w:val="28"/>
          <w:u w:val="none"/>
        </w:rPr>
        <w:t xml:space="preserve">4085.49 </w:t>
      </w:r>
      <w:r>
        <w:rPr>
          <w:rFonts w:hint="eastAsia" w:ascii="宋体" w:hAnsi="宋体" w:eastAsia="宋体" w:cs="宋体"/>
          <w:snapToGrid/>
          <w:color w:val="auto"/>
          <w:spacing w:val="0"/>
          <w:w w:val="100"/>
          <w:kern w:val="2"/>
          <w:position w:val="0"/>
          <w:sz w:val="28"/>
          <w:szCs w:val="28"/>
          <w:lang w:val="en-US" w:eastAsia="zh-CN" w:bidi="zh-CN"/>
        </w:rPr>
        <w:t>万元，其中固定资产投资</w:t>
      </w:r>
      <w:r>
        <w:rPr>
          <w:rFonts w:ascii="宋体" w:hAnsi="宋体" w:eastAsia="宋体" w:cs="宋体"/>
          <w:i w:val="false"/>
          <w:strike w:val="false"/>
          <w:spacing w:val="0"/>
          <w:sz w:val="28"/>
          <w:u w:val="none"/>
        </w:rPr>
        <w:t>4085.49</w:t>
      </w:r>
      <w:r>
        <w:rPr>
          <w:rFonts w:hint="eastAsia" w:ascii="宋体" w:hAnsi="宋体" w:eastAsia="宋体" w:cs="宋体"/>
          <w:snapToGrid/>
          <w:color w:val="auto"/>
          <w:spacing w:val="0"/>
          <w:w w:val="100"/>
          <w:kern w:val="2"/>
          <w:position w:val="0"/>
          <w:sz w:val="28"/>
          <w:szCs w:val="28"/>
          <w:lang w:val="en-US" w:eastAsia="zh-CN" w:bidi="zh-CN"/>
        </w:rPr>
        <w:t>万元，0.5年建设期内均匀投入。</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在资金筹措方面，项目总投资由资本金、专项债和项目融资或其他债务性资金三部分构成，一是资本金885.49万元，占总投资的21.67%，二是项目融资、企业自筹资金或者其他债务性资金3200万元，占总投资的78.36%。</w:t>
      </w:r>
    </w:p>
    <w:bookmarkStart w:id="75" w:name="_Toc26458"/>
    <w:bookmarkStart w:id="76" w:name="_Toc27847"/>
    <w:bookmarkStart w:id="77" w:name="_Toc22702"/>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rPr>
      </w:pPr>
      <w:r>
        <w:rPr>
          <w:rFonts w:hint="eastAsia" w:ascii="宋体" w:hAnsi="宋体" w:eastAsia="宋体" w:cs="宋体"/>
          <w:b/>
          <w:bCs/>
          <w:sz w:val="28"/>
          <w:szCs w:val="28"/>
        </w:rPr>
        <w:t>6.2 财务盈利能力分析</w:t>
      </w:r>
      <w:bookmarkEnd w:id="75"/>
      <w:bookmarkEnd w:id="76"/>
      <w:bookmarkEnd w:id="77"/>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6.2.1 财务评价的目标和原则</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财务评价是在国家现行财税制度和价格体系的前提下，根据国民经济与社会发展的趋势、行业发展状态、地区发展规划和行业政策的具体情况，从项目的角度出发，在项目初步方案的基础上，采用科学的分析方法，计算项目范围内的财务效益和费用，分析项目的盈利能力和清偿能力，分析论证拟建项目的财务可行性，评价项目在财务上的可行性。</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评价原则：1、客观性、科学性、公正性原则。2、坚持定量分析与定性分析相结合原则。3、以定量分析为主评价中采用动态与静态分析相结合，以动态分析为主原则。</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6.2.2 编制依据</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《国家发展改革委员会、建设部关于建设项目经济评价工作的若干规定》（发改投资[2006]1325号）文件。</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《建设项目经济评价方法与参数》(第三版)。</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《企业会计准则》及其相关规定。</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《中华人民共和国企业所得税法》及其相关规定。</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《中华人民共和国增值税法》》及其相关规定。</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《项目融资业务指引》。</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其他财税管理办法。</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6.2.3 参数选取</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遵循同期性、有效性、谨慎性和准确性的原则，结合国家财税法律法规、项目所在地区、归属行业以及项目自身特点，选取项目参数，具体情况如下。</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w:t>
      </w:r>
      <w:r>
        <w:rPr>
          <w:rFonts w:ascii="宋体" w:hAnsi="宋体" w:eastAsia="宋体" w:cs="宋体"/>
          <w:i w:val="false"/>
          <w:strike w:val="false"/>
          <w:spacing w:val="0"/>
          <w:sz w:val="28"/>
          <w:u w:val="none"/>
        </w:rPr>
        <w:t>、光伏储能设备按照20年折旧，残值率5%，折旧方法为平均年限法</w:t>
      </w:r>
      <w:r>
        <w:rPr>
          <w:rFonts w:hint="eastAsia" w:ascii="宋体" w:hAnsi="宋体" w:eastAsia="宋体" w:cs="宋体"/>
          <w:snapToGrid/>
          <w:color w:val="auto"/>
          <w:spacing w:val="0"/>
          <w:w w:val="100"/>
          <w:kern w:val="2"/>
          <w:position w:val="0"/>
          <w:sz w:val="28"/>
          <w:szCs w:val="28"/>
          <w:lang w:val="en-US" w:eastAsia="zh-CN" w:bidi="zh-CN"/>
        </w:rPr>
        <w:t>。</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2、根据现行的税收政策规定，增值税按最新税率13%、6%计算，城市建设维护税按7%，教育费附加税按3%，企业所得税率按25%。</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3、项目计算期12年，其中建设期0.5年。</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项目财务基准收益率（折现率）为4.2%。目前，无风险收益率（10年期国债收益率）在2.1%左右，因本项目是服务饮食的民生项目，行业发展确定性较强，行业风险相对较小，所以风险收益暂定为2.1%，即项目财务基准收益率（折现率）为4.2%。</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6.2.4 项目收入测算</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本项目建成后收入由光伏收入、储能电站收入及充电桩收入三部分构成。</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1、光伏发电收入</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（1）数量：</w:t>
      </w:r>
      <w:r>
        <w:rPr>
          <w:rFonts w:ascii="宋体" w:hAnsi="宋体" w:eastAsia="宋体" w:cs="宋体"/>
          <w:i w:val="false"/>
          <w:strike w:val="false"/>
          <w:spacing w:val="0"/>
          <w:sz w:val="28"/>
          <w:u w:val="none"/>
        </w:rPr>
        <w:t>本项目采用“源网荷储模式”，结合企业新乡市腾飞纸业有限公司年用电量2048万kWh，该企业距本项目光伏电站2公里左右（小于</w:t>
      </w:r>
      <w:r>
        <w:rPr>
          <w:rFonts w:hint="eastAsia" w:ascii="宋体" w:hAnsi="宋体" w:eastAsia="宋体" w:cs="宋体"/>
          <w:snapToGrid/>
          <w:color w:val="auto"/>
          <w:spacing w:val="0"/>
          <w:w w:val="100"/>
          <w:kern w:val="2"/>
          <w:position w:val="0"/>
          <w:sz w:val="28"/>
          <w:szCs w:val="28"/>
          <w:lang w:val="en-US" w:eastAsia="zh-CN" w:bidi="zh-CN"/>
        </w:rPr>
        <w:t>20公），根据测算，光伏电站每年发电量为361.69万kWh（3.349kWh/kWp/天*3000kWp*360天），考虑到该企业是24小时生产，白天平谷时段用电614.4</w:t>
      </w:r>
      <w:r>
        <w:rPr>
          <w:rFonts w:ascii="宋体" w:hAnsi="宋体" w:eastAsia="宋体" w:cs="宋体"/>
          <w:i w:val="false"/>
          <w:strike w:val="false"/>
          <w:spacing w:val="0"/>
          <w:sz w:val="28"/>
          <w:u w:val="none"/>
        </w:rPr>
        <w:t>万kWh</w:t>
      </w:r>
      <w:r>
        <w:rPr>
          <w:rFonts w:hint="eastAsia" w:ascii="宋体" w:hAnsi="宋体" w:eastAsia="宋体" w:cs="宋体"/>
          <w:snapToGrid/>
          <w:color w:val="auto"/>
          <w:spacing w:val="0"/>
          <w:w w:val="100"/>
          <w:kern w:val="2"/>
          <w:position w:val="0"/>
          <w:sz w:val="28"/>
          <w:szCs w:val="28"/>
          <w:lang w:val="en-US" w:eastAsia="zh-CN" w:bidi="zh-CN"/>
        </w:rPr>
        <w:t>，本项目光伏发电将直接由该企业100%消纳。</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（2）衰减值：光伏发电首年衰减值为2%，剩余每年衰减值为0.5%。</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default"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w:t>
      </w:r>
      <w:r>
        <w:rPr>
          <w:rFonts w:ascii="宋体" w:hAnsi="宋体" w:eastAsia="宋体" w:cs="宋体"/>
          <w:i w:val="false"/>
          <w:strike w:val="false"/>
          <w:spacing w:val="0"/>
          <w:sz w:val="28"/>
          <w:u w:val="none"/>
        </w:rPr>
        <w:t>1KW光伏装机容量平均日发电量：光伏发电时段在8:00-18:00，考虑日照时间、气温、照射角度等因素，根据Global Solar Atlas太阳能资源分析软件进行计算，如下图所示，1KW光伏装机容量每日发电量为3.349kWh/kWp/天,本项目预计年发电量3.349kWh/kWp/天*3000kWp*360天=361.69万kWh。</w:t>
      </w:r>
      <w:r>
        <w:rPr>
          <w:rFonts w:hint="eastAsia" w:ascii="宋体" w:hAnsi="宋体" w:eastAsia="宋体" w:cs="宋体"/>
          <w:snapToGrid/>
          <w:color w:val="auto"/>
          <w:spacing w:val="0"/>
          <w:w w:val="100"/>
          <w:kern w:val="2"/>
          <w:position w:val="0"/>
          <w:sz w:val="28"/>
          <w:szCs w:val="28"/>
          <w:lang w:val="en-US" w:eastAsia="zh-CN" w:bidi="zh-CN"/>
        </w:rPr>
        <w:t>。</w:t>
      </w:r>
    </w:p>
    <w:p>
      <w:pPr>
        <w:keepNext w:val="false"/>
        <w:keepLines w:val="false"/>
        <w:pageBreakBefore w:val="false"/>
        <w:widowControl w:val="false"/>
        <w:kinsoku/>
        <w:wordWrap/>
        <w:overflowPunct/>
        <w:topLinePunct w:val="false"/>
        <w:autoSpaceDE/>
        <w:autoSpaceDN/>
        <w:bidi w:val="false"/>
        <w:adjustRightInd/>
        <w:snapToGrid/>
        <w:spacing w:before="157" w:beforeLines="50" w:after="157" w:afterLines="50"/>
        <w:ind w:left="0" w:leftChars="0" w:firstLine="0" w:firstLineChars="0"/>
        <w:textAlignment w:val="auto"/>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drawing>
          <wp:inline distT="0" distB="0" distL="0" distR="0">
            <wp:extent cx="5274310" cy="2454275"/>
            <wp:effectExtent l="0" t="0" r="0" b="0"/>
            <wp:docPr id="47" name="picture" descr="descript"/>
            <wp:cNvGraphicFramePr/>
            <a:graphic>
              <a:graphicData uri="http://schemas.openxmlformats.org/drawingml/2006/picture">
                <pic:pic>
                  <pic:nvPicPr>
                    <pic:cNvPr id="48" name="picture" descr="descript"/>
                    <pic:cNvPicPr/>
                  </pic:nvPicPr>
                  <pic:blipFill>
                    <a:blip r:embed="rId22"/>
                    <a:stretch>
                      <a:fillRect/>
                    </a:stretch>
                  </pic:blipFill>
                  <pic:spPr>
                    <a:xfrm>
                      <a:off x="0" y="0"/>
                      <a:ext cx="5274310" cy="2454297"/>
                    </a:xfrm>
                    <a:prstGeom prst="rect">
                      <a:avLst/>
                    </a:prstGeom>
                  </pic:spPr>
                </pic:pic>
              </a:graphicData>
            </a:graphic>
          </wp:inline>
        </w:drawing>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工商业用电平均电价：根据国网河南省电力公司代理购电工商业用户电价表，本项目电压等级为1-10千伏区间，根据河南省发展改革委发布了《关于调整工商业分时电价有关事项的通知》规定：高峰段为16--24时，低谷时段为0时-次日7时，其余时段为平段，根据生产规律，高峰用电占比39%，平时段用电占比60%，低谷时段用电为1%，光伏发电主要集中在早上8-17点，工商业用电平均电价为0.65元/kWh左右（每月电价有一定浮动），源网荷储到需要支付政府性</w:t>
      </w:r>
      <w:r>
        <w:rPr>
          <w:rFonts w:ascii="宋体" w:hAnsi="宋体" w:eastAsia="宋体" w:cs="宋体"/>
          <w:i w:val="false"/>
          <w:strike w:val="false"/>
          <w:spacing w:val="0"/>
          <w:sz w:val="28"/>
          <w:u w:val="none"/>
        </w:rPr>
        <w:t>基金及附加0.0288元</w:t>
      </w:r>
      <w:r>
        <w:rPr>
          <w:rFonts w:hint="eastAsia" w:ascii="宋体" w:hAnsi="宋体" w:eastAsia="宋体" w:cs="宋体"/>
          <w:snapToGrid/>
          <w:color w:val="auto"/>
          <w:spacing w:val="0"/>
          <w:w w:val="100"/>
          <w:kern w:val="2"/>
          <w:position w:val="0"/>
          <w:sz w:val="28"/>
          <w:szCs w:val="28"/>
          <w:lang w:val="en-US" w:eastAsia="zh-CN" w:bidi="zh-CN"/>
        </w:rPr>
        <w:t>/kWh，出于谨慎性原则，光伏发电用电电价为0.56元/kWh，暂不考虑电价调幅。</w:t>
      </w:r>
    </w:p>
    <w:p>
      <w:pPr>
        <w:keepNext w:val="false"/>
        <w:keepLines w:val="false"/>
        <w:pageBreakBefore w:val="false"/>
        <w:widowControl w:val="false"/>
        <w:numPr>
          <w:ilvl w:val="0"/>
          <w:numId w:val="0"/>
        </w:numPr>
        <w:kinsoku/>
        <w:wordWrap/>
        <w:overflowPunct/>
        <w:topLinePunct w:val="false"/>
        <w:autoSpaceDE/>
        <w:autoSpaceDN/>
        <w:bidi w:val="false"/>
        <w:adjustRightInd/>
        <w:snapToGrid/>
        <w:jc w:val="both"/>
        <w:textAlignment w:val="auto"/>
        <w:rPr>
          <w:rFonts w:hint="eastAsia" w:eastAsia="宋体"/>
          <w:lang w:eastAsia="zh-CN"/>
        </w:rPr>
      </w:pPr>
      <w:r>
        <w:rPr>
          <w:rFonts w:hint="eastAsia" w:eastAsia="宋体"/>
          <w:lang w:eastAsia="zh-CN"/>
        </w:rPr>
        <w:drawing>
          <wp:inline distT="0" distB="0" distL="114300" distR="114300">
            <wp:extent cx="5270500" cy="3602990"/>
            <wp:effectExtent l="0" t="0" r="6350" b="16510"/>
            <wp:docPr id="50" name="图片 10" descr="1720664141104"/>
            <wp:cNvGraphicFramePr>
              <a:graphicFrameLocks noChangeAspect="true"/>
            </wp:cNvGraphicFramePr>
            <a:graphic>
              <a:graphicData uri="http://schemas.openxmlformats.org/drawingml/2006/picture">
                <pic:pic>
                  <pic:nvPicPr>
                    <pic:cNvPr id="51" name="图片 10" descr="1720664141104"/>
                    <pic:cNvPicPr>
                      <a:picLocks noChangeAspect="true"/>
                    </pic:cNvPicPr>
                  </pic:nvPicPr>
                  <pic:blipFill>
                    <a:blip r:embed="rId23"/>
                    <a:stretch>
                      <a:fillRect/>
                    </a:stretch>
                  </pic:blipFill>
                  <pic:spPr>
                    <a:xfrm>
                      <a:off x="0" y="0"/>
                      <a:ext cx="5270500" cy="3602990"/>
                    </a:xfrm>
                    <a:prstGeom prst="rect">
                      <a:avLst/>
                    </a:prstGeom>
                  </pic:spPr>
                </pic:pic>
              </a:graphicData>
            </a:graphic>
          </wp:inline>
        </w:drawing>
      </w:r>
    </w:p>
    <w:p>
      <w:pPr>
        <w:pBdr>
          <w:bottom w:val="none" w:color="auto" w:sz="0" w:space="0"/>
        </w:pBdr>
        <w:snapToGrid/>
        <w:spacing w:line="240" w:lineRule="auto"/>
        <w:ind w:firstLineChars="200"/>
        <w:rPr>
          <w:rFonts w:hint="default"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根据谨慎性原则，本次测算工商业用电平均电价为0.65元/kWh，则自发自用电费收益=（自用率*装机容量*1KW光伏装机容量平均日发电量*年发电天数-储能日储存电量*360）*工商业用电平均电价，贷款存续期间自用收益经营性收入估算合计为</w:t>
      </w:r>
      <w:r>
        <w:rPr>
          <w:rFonts w:hint="eastAsia" w:ascii="宋体" w:hAnsi="宋体" w:eastAsia="宋体" w:cs="宋体"/>
          <w:i w:val="false"/>
          <w:strike w:val="false"/>
          <w:spacing w:val="0"/>
          <w:sz w:val="28"/>
          <w:u w:val="none"/>
          <w:lang w:val="en-US" w:eastAsia="zh-CN"/>
        </w:rPr>
        <w:t>2218.29</w:t>
      </w:r>
      <w:r>
        <w:rPr>
          <w:rFonts w:ascii="宋体" w:hAnsi="宋体" w:eastAsia="宋体" w:cs="宋体"/>
          <w:i w:val="false"/>
          <w:strike w:val="false"/>
          <w:spacing w:val="0"/>
          <w:sz w:val="28"/>
          <w:u w:val="none"/>
        </w:rPr>
        <w:t xml:space="preserve"> </w:t>
      </w:r>
      <w:r>
        <w:rPr>
          <w:rFonts w:hint="eastAsia" w:ascii="宋体" w:hAnsi="宋体" w:eastAsia="宋体" w:cs="宋体"/>
          <w:snapToGrid/>
          <w:color w:val="auto"/>
          <w:spacing w:val="0"/>
          <w:w w:val="100"/>
          <w:kern w:val="2"/>
          <w:position w:val="0"/>
          <w:sz w:val="28"/>
          <w:szCs w:val="28"/>
          <w:lang w:val="en-US" w:eastAsia="zh-CN" w:bidi="zh-CN"/>
        </w:rPr>
        <w:t>万元。（装机容量运营期首年衰减2%，以后每年衰减0.5%）详情请见估算表收入部分。</w:t>
      </w:r>
    </w:p>
    <w:p>
      <w:pPr>
        <w:keepNext w:val="false"/>
        <w:keepLines w:val="false"/>
        <w:pageBreakBefore w:val="false"/>
        <w:widowControl w:val="false"/>
        <w:pBdr>
          <w:bottom w:val="none" w:color="auto" w:sz="0" w:space="0"/>
        </w:pBdr>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2、储能电站收益</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（1）峰值需求量：</w:t>
      </w:r>
      <w:r>
        <w:rPr>
          <w:rFonts w:ascii="宋体" w:hAnsi="宋体" w:eastAsia="宋体" w:cs="宋体"/>
          <w:i w:val="false"/>
          <w:strike w:val="false"/>
          <w:spacing w:val="0"/>
          <w:sz w:val="28"/>
          <w:u w:val="none"/>
        </w:rPr>
        <w:t>新乡市腾飞纸业有限公司年用电需求2048万kWh，考虑到该企业是24小时生产，峰值用电614.4万kWh（高峰段为16--24时），本</w:t>
      </w:r>
      <w:r>
        <w:rPr>
          <w:rFonts w:hint="eastAsia" w:ascii="宋体" w:hAnsi="宋体" w:eastAsia="宋体" w:cs="宋体"/>
          <w:snapToGrid/>
          <w:color w:val="auto"/>
          <w:spacing w:val="0"/>
          <w:w w:val="100"/>
          <w:kern w:val="2"/>
          <w:position w:val="0"/>
          <w:sz w:val="28"/>
          <w:szCs w:val="28"/>
          <w:lang w:val="en-US" w:eastAsia="zh-CN" w:bidi="zh-CN"/>
        </w:rPr>
        <w:t>项目配备储能发电系统，最大储能量为每天9*2000=18000kWh。为谨慎考虑，日出能量按照95%计算为17100kWh。年储能供电量是17100kWh*360=615.6万kWh，可为满足该企业波峰用电需求。</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（2）储能销售电价：根据结合近2024年电力公司代理购电工商业用户电价表推算，</w:t>
      </w:r>
      <w:r>
        <w:rPr>
          <w:rFonts w:ascii="宋体" w:hAnsi="宋体" w:eastAsia="宋体" w:cs="宋体"/>
          <w:i w:val="false"/>
          <w:strike w:val="false"/>
          <w:spacing w:val="0"/>
          <w:sz w:val="28"/>
          <w:u w:val="none"/>
        </w:rPr>
        <w:t>峰值价差约为0.68元/kwh</w:t>
      </w:r>
      <w:r>
        <w:rPr>
          <w:rFonts w:hint="eastAsia" w:ascii="宋体" w:hAnsi="宋体" w:eastAsia="宋体" w:cs="宋体"/>
          <w:snapToGrid/>
          <w:color w:val="auto"/>
          <w:spacing w:val="0"/>
          <w:w w:val="100"/>
          <w:kern w:val="2"/>
          <w:position w:val="0"/>
          <w:sz w:val="28"/>
          <w:szCs w:val="28"/>
          <w:lang w:val="en-US" w:eastAsia="zh-CN" w:bidi="zh-CN"/>
        </w:rPr>
        <w:t>（未考虑尖峰电价），出于谨慎性原则，项目暂按0.61元/kWh测算。</w:t>
      </w:r>
    </w:p>
    <w:p>
      <w:pPr>
        <w:keepNext w:val="false"/>
        <w:keepLines w:val="false"/>
        <w:pageBreakBefore w:val="false"/>
        <w:widowControl w:val="false"/>
        <w:numPr>
          <w:ilvl w:val="0"/>
          <w:numId w:val="0"/>
        </w:numPr>
        <w:kinsoku/>
        <w:wordWrap/>
        <w:overflowPunct/>
        <w:topLinePunct w:val="false"/>
        <w:autoSpaceDE w:val="false"/>
        <w:autoSpaceDN w:val="false"/>
        <w:bidi w:val="false"/>
        <w:adjustRightInd/>
        <w:snapToGrid/>
        <w:spacing w:before="157" w:beforeLines="50" w:after="157" w:afterLines="50" w:line="360" w:lineRule="auto"/>
        <w:ind w:right="0" w:rightChars="0" w:firstLine="420" w:firstLineChars="200"/>
        <w:jc w:val="both"/>
        <w:textAlignment w:val="baseline"/>
        <w:rPr>
          <w:rFonts w:hint="eastAsia" w:ascii="宋体" w:hAnsi="宋体" w:eastAsia="宋体" w:cs="宋体"/>
          <w:i w:val="false"/>
          <w:strike w:val="false"/>
          <w:color w:val="000000"/>
          <w:spacing w:val="0"/>
          <w:sz w:val="28"/>
          <w:szCs w:val="28"/>
          <w:u w:val="none"/>
          <w:lang w:val="en-US" w:eastAsia="zh-CN"/>
        </w:rPr>
      </w:pPr>
      <w:r>
        <w:rPr>
          <w:rFonts w:hint="eastAsia" w:eastAsia="宋体"/>
          <w:lang w:eastAsia="zh-CN"/>
        </w:rPr>
        <w:drawing>
          <wp:inline distT="0" distB="0" distL="114300" distR="114300">
            <wp:extent cx="5270500" cy="2813685"/>
            <wp:effectExtent l="0" t="0" r="2540" b="5715"/>
            <wp:docPr id="53" name="图片 11" descr="1720664355964"/>
            <wp:cNvGraphicFramePr>
              <a:graphicFrameLocks noChangeAspect="true"/>
            </wp:cNvGraphicFramePr>
            <a:graphic>
              <a:graphicData uri="http://schemas.openxmlformats.org/drawingml/2006/picture">
                <pic:pic>
                  <pic:nvPicPr>
                    <pic:cNvPr id="54" name="图片 11" descr="1720664355964"/>
                    <pic:cNvPicPr>
                      <a:picLocks noChangeAspect="true"/>
                    </pic:cNvPicPr>
                  </pic:nvPicPr>
                  <pic:blipFill>
                    <a:blip r:embed="rId24"/>
                    <a:stretch>
                      <a:fillRect/>
                    </a:stretch>
                  </pic:blipFill>
                  <pic:spPr>
                    <a:xfrm>
                      <a:off x="0" y="0"/>
                      <a:ext cx="5270500" cy="2813685"/>
                    </a:xfrm>
                    <a:prstGeom prst="rect">
                      <a:avLst/>
                    </a:prstGeom>
                  </pic:spPr>
                </pic:pic>
              </a:graphicData>
            </a:graphic>
          </wp:inline>
        </w:drawing>
      </w:r>
    </w:p>
    <w:p>
      <w:pPr>
        <w:pBdr>
          <w:bottom w:val="none" w:color="auto" w:sz="0" w:space="0"/>
        </w:pBdr>
        <w:snapToGrid/>
        <w:spacing w:line="240" w:lineRule="auto"/>
        <w:rPr>
          <w:rFonts w:hint="default"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则储能峰谷发电收益=日峰值需求量*峰谷价差*年发电天数，贷款存续期间自用收益及经营性收入估算合计为</w:t>
      </w:r>
      <w:r>
        <w:rPr>
          <w:rFonts w:ascii="宋体" w:hAnsi="宋体" w:eastAsia="宋体" w:cs="宋体"/>
          <w:i w:val="false"/>
          <w:strike w:val="false"/>
          <w:spacing w:val="0"/>
          <w:sz w:val="28"/>
          <w:u w:val="none"/>
        </w:rPr>
        <w:t xml:space="preserve">4318.43 </w:t>
      </w:r>
      <w:r>
        <w:rPr>
          <w:rFonts w:hint="eastAsia" w:ascii="宋体" w:hAnsi="宋体" w:eastAsia="宋体" w:cs="宋体"/>
          <w:snapToGrid/>
          <w:color w:val="auto"/>
          <w:spacing w:val="0"/>
          <w:w w:val="100"/>
          <w:kern w:val="2"/>
          <w:position w:val="0"/>
          <w:sz w:val="28"/>
          <w:szCs w:val="28"/>
          <w:lang w:val="en-US" w:eastAsia="zh-CN" w:bidi="zh-CN"/>
        </w:rPr>
        <w:t>万元。</w:t>
      </w:r>
    </w:p>
    <w:p>
      <w:pPr>
        <w:keepNext w:val="false"/>
        <w:keepLines w:val="false"/>
        <w:pageBreakBefore w:val="false"/>
        <w:widowControl w:val="false"/>
        <w:pBdr>
          <w:bottom w:val="none" w:color="auto" w:sz="0" w:space="0"/>
        </w:pBdr>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3、电动汽车充电桩收入</w:t>
      </w:r>
    </w:p>
    <w:p>
      <w:pPr>
        <w:pBdr>
          <w:bottom w:val="none" w:color="auto" w:sz="0" w:space="0"/>
        </w:pBdr>
        <w:snapToGrid/>
        <w:spacing w:line="240" w:lineRule="auto"/>
        <w:ind w:firstLineChars="200"/>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根据《关于加快电动汽车充电基础设施建设的实施意见》以及《河南省发展改革委转发国家发展改革委关于电动汽车用电价格政策有关问题的通知》：充换电设施经营单位可向电动汽车用户收取电费及充电服务费两项费用。结合新乡市市市场价格，目前辖区范围内电动汽车充电服务费按充电的计量单位数(千瓦时)收取，社会车辆充电服务费标准暂定为0.8元/千瓦时。</w:t>
      </w:r>
    </w:p>
    <w:p>
      <w:pPr>
        <w:pBdr>
          <w:bottom w:val="none" w:color="auto" w:sz="0" w:space="0"/>
        </w:pBdr>
        <w:snapToGrid/>
        <w:spacing w:line="240" w:lineRule="auto"/>
        <w:ind w:firstLineChars="200"/>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设置充电桩数量4个，全部是光伏储能充电桩。考虑到本项目的服务群体和区位，定价不宜过高，充电服务费标准按0.65元/千瓦时计算，功率为80kw，利用率按照运营期第0.5年使用系数按50%，第二年按60%，第三年按70%，第四年按80%，第五年按90%，第六年及以后按95%计算。每个充电桩每天工作3.5小时，年使用360天，每小时充电60度。贷款存续期间充电桩收入估算合计为242.59 万元</w:t>
      </w:r>
      <w:r>
        <w:rPr>
          <w:rFonts w:ascii="宋体" w:hAnsi="宋体" w:eastAsia="宋体" w:cs="宋体"/>
          <w:i w:val="false"/>
          <w:strike w:val="false"/>
          <w:spacing w:val="0"/>
          <w:sz w:val="28"/>
          <w:u w:val="none"/>
        </w:rPr>
        <w:t>。</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综上所述，项目12年运营期内总收入为6439.39万元。</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6.2.5 项目成本测算</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1、燃料动力费</w:t>
      </w:r>
    </w:p>
    <w:p>
      <w:pPr>
        <w:keepNext w:val="false"/>
        <w:keepLines w:val="false"/>
        <w:pageBreakBefore w:val="false"/>
        <w:widowControl w:val="false"/>
        <w:pBdr>
          <w:bottom w:val="none" w:color="auto" w:sz="0" w:space="0"/>
        </w:pBdr>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建设完成后，本项目生产服务用房用电用水由运营方承担。按实际生产量估算，价格依据现行市场确定，当项目达到设计达产能力100%，年成本费用为2.6万元/年，考虑到储能波谷充电，波峰放电，电池充电放每天消耗电能900kWh，波谷充电成本0.35元/kWh，年消耗电能900kWh*360*0.35元/kWh=11.34万元。</w:t>
      </w:r>
      <w:r>
        <w:rPr>
          <w:rFonts w:hint="eastAsia" w:ascii="宋体" w:hAnsi="宋体" w:eastAsia="宋体" w:cs="宋体"/>
          <w:snapToGrid/>
          <w:color w:val="000000"/>
          <w:spacing w:val="0"/>
          <w:w w:val="100"/>
          <w:kern w:val="2"/>
          <w:position w:val="0"/>
          <w:sz w:val="28"/>
          <w:szCs w:val="28"/>
          <w:lang w:val="en-US" w:eastAsia="zh-CN" w:bidi="zh-CN"/>
        </w:rPr>
        <w:t>项目运营期内年均成本为</w:t>
      </w:r>
      <w:r>
        <w:rPr>
          <w:rFonts w:hint="eastAsia" w:ascii="宋体" w:hAnsi="宋体" w:eastAsia="宋体" w:cs="宋体"/>
          <w:snapToGrid/>
          <w:color w:val="auto"/>
          <w:spacing w:val="0"/>
          <w:w w:val="100"/>
          <w:kern w:val="2"/>
          <w:position w:val="0"/>
          <w:sz w:val="28"/>
          <w:szCs w:val="28"/>
          <w:lang w:val="en-US" w:eastAsia="zh-CN" w:bidi="zh-CN"/>
        </w:rPr>
        <w:t>13.36万元。</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2、人员工资与福利成本</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本项目编制拟定为4人，主要为运营、维修维护管理人员，平均工资标准为70000元/年，</w:t>
      </w:r>
      <w:r>
        <w:rPr>
          <w:rFonts w:ascii="宋体" w:hAnsi="宋体" w:eastAsia="宋体" w:cs="宋体"/>
          <w:i w:val="false"/>
          <w:strike w:val="false"/>
          <w:spacing w:val="0"/>
          <w:sz w:val="28"/>
          <w:u w:val="none"/>
        </w:rPr>
        <w:t>考虑平均社会发展水平，费用每</w:t>
      </w:r>
      <w:r>
        <w:rPr>
          <w:rFonts w:hint="eastAsia" w:ascii="宋体" w:hAnsi="宋体" w:eastAsia="宋体" w:cs="宋体"/>
          <w:i w:val="false"/>
          <w:strike w:val="false"/>
          <w:spacing w:val="0"/>
          <w:sz w:val="28"/>
          <w:u w:val="none"/>
          <w:lang w:val="en-US" w:eastAsia="zh-CN"/>
        </w:rPr>
        <w:t>5</w:t>
      </w:r>
      <w:r>
        <w:rPr>
          <w:rFonts w:ascii="宋体" w:hAnsi="宋体" w:eastAsia="宋体" w:cs="宋体"/>
          <w:i w:val="false"/>
          <w:strike w:val="false"/>
          <w:spacing w:val="0"/>
          <w:sz w:val="28"/>
          <w:u w:val="none"/>
        </w:rPr>
        <w:t>年增长3%；</w:t>
      </w:r>
      <w:r>
        <w:rPr>
          <w:rFonts w:hint="eastAsia" w:ascii="宋体" w:hAnsi="宋体" w:eastAsia="宋体" w:cs="宋体"/>
          <w:snapToGrid/>
          <w:color w:val="auto"/>
          <w:spacing w:val="0"/>
          <w:w w:val="100"/>
          <w:kern w:val="2"/>
          <w:position w:val="0"/>
          <w:sz w:val="28"/>
          <w:szCs w:val="28"/>
          <w:lang w:val="en-US" w:eastAsia="zh-CN" w:bidi="zh-CN"/>
        </w:rPr>
        <w:t>，经计算，年均职工薪酬及福利费为27.47万元。</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3、保洁维护费</w:t>
      </w:r>
    </w:p>
    <w:p>
      <w:pPr>
        <w:keepNext w:val="false"/>
        <w:keepLines w:val="false"/>
        <w:pageBreakBefore w:val="false"/>
        <w:widowControl w:val="false"/>
        <w:pBdr>
          <w:bottom w:val="none" w:color="auto" w:sz="0" w:space="0"/>
        </w:pBdr>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参考市场运维成本，结合项目实际情况，本项目达产后按照14.72万元计取。</w:t>
      </w:r>
      <w:r>
        <w:rPr>
          <w:rFonts w:ascii="宋体" w:hAnsi="宋体" w:eastAsia="宋体" w:cs="宋体"/>
          <w:i w:val="false"/>
          <w:strike w:val="false"/>
          <w:spacing w:val="0"/>
          <w:sz w:val="28"/>
          <w:u w:val="none"/>
        </w:rPr>
        <w:t>项目运营期内年均保洁维护费为14.10万元。</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firstLineChars="200"/>
        <w:jc w:val="both"/>
        <w:textAlignment w:val="auto"/>
        <w:outlineLvl w:val="9"/>
        <w:rPr>
          <w:rFonts w:ascii="宋体" w:hAnsi="宋体" w:eastAsia="宋体" w:cs="宋体"/>
          <w:i w:val="false"/>
          <w:strike w:val="false"/>
          <w:color w:val="000000"/>
          <w:spacing w:val="0"/>
          <w:sz w:val="28"/>
          <w:u w:val="none"/>
        </w:rPr>
      </w:pPr>
      <w:r>
        <w:rPr>
          <w:rFonts w:ascii="宋体" w:hAnsi="宋体" w:eastAsia="宋体" w:cs="宋体"/>
          <w:i w:val="false"/>
          <w:strike w:val="false"/>
          <w:color w:val="000000"/>
          <w:spacing w:val="0"/>
          <w:sz w:val="28"/>
          <w:u w:val="none"/>
        </w:rPr>
        <w:t>4、电网过路费</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FF0000"/>
          <w:spacing w:val="0"/>
          <w:w w:val="100"/>
          <w:kern w:val="2"/>
          <w:position w:val="0"/>
          <w:sz w:val="28"/>
          <w:szCs w:val="28"/>
          <w:lang w:val="en-US" w:eastAsia="zh-CN" w:bidi="zh-CN"/>
        </w:rPr>
      </w:pPr>
      <w:r>
        <w:rPr>
          <w:rFonts w:hint="eastAsia" w:ascii="宋体" w:hAnsi="宋体" w:eastAsia="宋体" w:cs="宋体"/>
          <w:snapToGrid/>
          <w:color w:val="000000"/>
          <w:spacing w:val="0"/>
          <w:w w:val="100"/>
          <w:kern w:val="2"/>
          <w:position w:val="0"/>
          <w:sz w:val="28"/>
          <w:szCs w:val="28"/>
          <w:lang w:val="en-US" w:eastAsia="zh-CN" w:bidi="zh-CN"/>
        </w:rPr>
        <w:t>是</w:t>
      </w:r>
      <w:r>
        <w:rPr>
          <w:rFonts w:ascii="宋体" w:hAnsi="宋体" w:eastAsia="宋体" w:cs="宋体"/>
          <w:i w:val="false"/>
          <w:strike w:val="false"/>
          <w:color w:val="000000"/>
          <w:spacing w:val="0"/>
          <w:sz w:val="28"/>
          <w:u w:val="none"/>
        </w:rPr>
        <w:t>指电网企业为回收电网网架投资和运行维护费用，并获得合理的资产回报而收取的费用，其核算在遵循国家核定输配电价基础上，应考虑分布式发电市场化交易双方所占用的电网资产、电压等级和电气距离。分布式发电“过网费”标准按接入电压等级和输电及电力消纳范围分级确定。</w:t>
      </w:r>
      <w:r>
        <w:rPr>
          <w:rFonts w:hint="eastAsia" w:ascii="宋体" w:hAnsi="宋体" w:eastAsia="宋体" w:cs="宋体"/>
          <w:i w:val="false"/>
          <w:strike w:val="false"/>
          <w:color w:val="000000"/>
          <w:spacing w:val="8"/>
          <w:sz w:val="28"/>
          <w:szCs w:val="28"/>
          <w:u w:val="none"/>
          <w:shd w:val="clear" w:color="auto" w:fill="FFFFFF"/>
        </w:rPr>
        <w:t>按电力用户接入电压等级对应的省级电网公共网络输配电价（含政策性交叉补贴）扣减分布式发电市场化交易所涉最高电压等级的输配电价</w:t>
      </w:r>
      <w:r>
        <w:rPr>
          <w:rFonts w:hint="eastAsia" w:ascii="宋体" w:hAnsi="宋体" w:eastAsia="宋体" w:cs="宋体"/>
          <w:snapToGrid/>
          <w:color w:val="000000"/>
          <w:spacing w:val="0"/>
          <w:w w:val="100"/>
          <w:kern w:val="2"/>
          <w:position w:val="0"/>
          <w:sz w:val="28"/>
          <w:szCs w:val="28"/>
          <w:lang w:val="en-US" w:eastAsia="zh-CN" w:bidi="zh-CN"/>
        </w:rPr>
        <w:t>，河南省2024年12月不满1千伏0.1955元/kWh，10-35千伏0.168元/kWh，差额是0.0275元/kWh，考虑到河南省未公布相应过网费标准，本项目按照0.06元/kWh计算，</w:t>
      </w:r>
      <w:r>
        <w:rPr>
          <w:rFonts w:ascii="宋体" w:hAnsi="宋体" w:eastAsia="宋体" w:cs="宋体"/>
          <w:i w:val="false"/>
          <w:strike w:val="false"/>
          <w:color w:val="FF0000"/>
          <w:spacing w:val="0"/>
          <w:sz w:val="28"/>
          <w:u w:val="none"/>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项目运营期内年均电网过路费为</w:t>
      </w:r>
      <w:r>
        <w:rPr>
          <w:rFonts w:hint="eastAsia" w:ascii="宋体" w:hAnsi="宋体" w:eastAsia="宋体" w:cs="宋体"/>
          <w:i w:val="false"/>
          <w:strike w:val="false"/>
          <w:color w:val="FF0000"/>
          <w:spacing w:val="0"/>
          <w:sz w:val="28"/>
          <w:u w:val="none"/>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19.81</w:t>
      </w:r>
      <w:r>
        <w:rPr>
          <w:rFonts w:ascii="宋体" w:hAnsi="宋体" w:eastAsia="宋体" w:cs="宋体"/>
          <w:i w:val="false"/>
          <w:strike w:val="false"/>
          <w:color w:val="FF0000"/>
          <w:spacing w:val="0"/>
          <w:sz w:val="28"/>
          <w:u w:val="none"/>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万元。</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firstLineChars="200"/>
        <w:jc w:val="both"/>
        <w:textAlignment w:val="auto"/>
        <w:outlineLvl w:val="9"/>
        <w:rPr>
          <w:rFonts w:ascii="宋体" w:hAnsi="宋体" w:eastAsia="宋体" w:cs="宋体"/>
          <w:i w:val="false"/>
          <w:strike w:val="false"/>
          <w:color w:val="000000"/>
          <w:spacing w:val="0"/>
          <w:sz w:val="28"/>
          <w:u w:val="none"/>
        </w:rPr>
      </w:pPr>
      <w:r>
        <w:rPr>
          <w:rFonts w:ascii="宋体" w:hAnsi="宋体" w:eastAsia="宋体" w:cs="宋体"/>
          <w:i w:val="false"/>
          <w:strike w:val="false"/>
          <w:color w:val="000000"/>
          <w:spacing w:val="0"/>
          <w:sz w:val="28"/>
          <w:u w:val="none"/>
        </w:rPr>
        <w:t>5、折旧与摊销</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000000"/>
          <w:spacing w:val="0"/>
          <w:w w:val="100"/>
          <w:kern w:val="2"/>
          <w:position w:val="0"/>
          <w:sz w:val="28"/>
          <w:szCs w:val="28"/>
          <w:lang w:val="en-US" w:eastAsia="zh-CN" w:bidi="zh-CN"/>
        </w:rPr>
      </w:pPr>
      <w:r>
        <w:rPr>
          <w:rFonts w:hint="eastAsia" w:ascii="宋体" w:hAnsi="宋体" w:eastAsia="宋体" w:cs="宋体"/>
          <w:snapToGrid/>
          <w:color w:val="000000"/>
          <w:spacing w:val="0"/>
          <w:w w:val="100"/>
          <w:kern w:val="2"/>
          <w:position w:val="0"/>
          <w:sz w:val="28"/>
          <w:szCs w:val="28"/>
          <w:lang w:val="en-US" w:eastAsia="zh-CN" w:bidi="zh-CN"/>
        </w:rPr>
        <w:t>本项目按直线法计算折旧，本项目主要是光伏设备和储能设备，该设备折旧年限为20年，残值率为5%。项目运营期内年均折旧额为167.57万元。</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000000"/>
          <w:spacing w:val="0"/>
          <w:w w:val="100"/>
          <w:kern w:val="2"/>
          <w:position w:val="0"/>
          <w:sz w:val="28"/>
          <w:szCs w:val="28"/>
          <w:lang w:val="en-US" w:eastAsia="zh-CN" w:bidi="zh-CN"/>
        </w:rPr>
      </w:pPr>
      <w:r>
        <w:rPr>
          <w:rFonts w:hint="eastAsia" w:ascii="宋体" w:hAnsi="宋体" w:eastAsia="宋体" w:cs="宋体"/>
          <w:snapToGrid/>
          <w:color w:val="000000"/>
          <w:spacing w:val="0"/>
          <w:w w:val="100"/>
          <w:kern w:val="2"/>
          <w:position w:val="0"/>
          <w:sz w:val="28"/>
          <w:szCs w:val="28"/>
          <w:lang w:val="en-US" w:eastAsia="zh-CN" w:bidi="zh-CN"/>
        </w:rPr>
        <w:t>5、运营及管理费</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000000"/>
          <w:spacing w:val="0"/>
          <w:w w:val="100"/>
          <w:kern w:val="2"/>
          <w:position w:val="0"/>
          <w:sz w:val="28"/>
          <w:szCs w:val="28"/>
          <w:lang w:val="en-US" w:eastAsia="zh-CN" w:bidi="zh-CN"/>
        </w:rPr>
      </w:pPr>
      <w:r>
        <w:rPr>
          <w:rFonts w:hint="eastAsia" w:ascii="宋体" w:hAnsi="宋体" w:eastAsia="宋体" w:cs="宋体"/>
          <w:snapToGrid/>
          <w:color w:val="000000"/>
          <w:spacing w:val="0"/>
          <w:w w:val="100"/>
          <w:kern w:val="2"/>
          <w:position w:val="0"/>
          <w:sz w:val="28"/>
          <w:szCs w:val="28"/>
          <w:lang w:val="en-US" w:eastAsia="zh-CN" w:bidi="zh-CN"/>
        </w:rPr>
        <w:t>主要为光伏发电设备、储能系统管理和光伏充电桩等，结合项目实际情况，则项目合计年均为9.75万元。考虑平均社会发展水平，价格每5年增长5%；</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000000"/>
          <w:spacing w:val="0"/>
          <w:w w:val="100"/>
          <w:kern w:val="2"/>
          <w:position w:val="0"/>
          <w:sz w:val="28"/>
          <w:szCs w:val="28"/>
          <w:lang w:val="en-US" w:eastAsia="zh-CN" w:bidi="zh-CN"/>
        </w:rPr>
      </w:pPr>
      <w:r>
        <w:rPr>
          <w:rFonts w:hint="eastAsia" w:ascii="宋体" w:hAnsi="宋体" w:eastAsia="宋体" w:cs="宋体"/>
          <w:snapToGrid/>
          <w:color w:val="000000"/>
          <w:spacing w:val="0"/>
          <w:w w:val="100"/>
          <w:kern w:val="2"/>
          <w:position w:val="0"/>
          <w:sz w:val="28"/>
          <w:szCs w:val="28"/>
          <w:lang w:val="en-US" w:eastAsia="zh-CN" w:bidi="zh-CN"/>
        </w:rPr>
        <w:t>7、利息支出</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000000"/>
          <w:spacing w:val="0"/>
          <w:w w:val="100"/>
          <w:kern w:val="2"/>
          <w:position w:val="0"/>
          <w:sz w:val="28"/>
          <w:szCs w:val="28"/>
          <w:lang w:val="en-US" w:eastAsia="zh-CN" w:bidi="zh-CN"/>
        </w:rPr>
      </w:pPr>
      <w:r>
        <w:rPr>
          <w:rFonts w:hint="eastAsia" w:ascii="宋体" w:hAnsi="宋体" w:eastAsia="宋体" w:cs="宋体"/>
          <w:snapToGrid/>
          <w:color w:val="000000"/>
          <w:spacing w:val="0"/>
          <w:w w:val="100"/>
          <w:kern w:val="2"/>
          <w:position w:val="0"/>
          <w:sz w:val="28"/>
          <w:szCs w:val="28"/>
          <w:lang w:val="en-US" w:eastAsia="zh-CN" w:bidi="zh-CN"/>
        </w:rPr>
        <w:t>项目申请贷款3200万元，年限为12年，其中建设期0.5年，建设期利息计入总投资，利率为5.04%。运营期内每年还本付息，具体情况见《还本付息表》。</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color w:val="auto"/>
          <w:sz w:val="28"/>
          <w:szCs w:val="28"/>
        </w:rPr>
      </w:pPr>
      <w:r>
        <w:rPr>
          <w:rFonts w:hint="eastAsia" w:ascii="宋体" w:hAnsi="宋体" w:eastAsia="宋体" w:cs="宋体"/>
          <w:b/>
          <w:bCs/>
          <w:color w:val="auto"/>
          <w:sz w:val="28"/>
          <w:szCs w:val="28"/>
        </w:rPr>
        <w:t>6.2.6 总投资收益率（ROI）</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按照《方法与参数》的规定，总投资收益率（ROI）表示总投资的盈利水平，指项目到达设计能力后正常年份的年息税前利润或运营期内年平均息税前利润（EBIT）与项目总投资（TI）的比率；总投资收益率按照下式计算：</w:t>
      </w:r>
    </w:p>
    <w:p>
      <w:pPr>
        <w:keepNext w:val="false"/>
        <w:keepLines w:val="false"/>
        <w:pageBreakBefore w:val="false"/>
        <w:widowControl w:val="false"/>
        <w:kinsoku/>
        <w:wordWrap/>
        <w:overflowPunct/>
        <w:topLinePunct w:val="false"/>
        <w:autoSpaceDE w:val="false"/>
        <w:autoSpaceDN w:val="false"/>
        <w:bidi w:val="false"/>
        <w:adjustRightInd/>
        <w:snapToGrid/>
        <w:spacing w:before="157" w:beforeLines="50" w:after="157" w:afterLines="50" w:line="360" w:lineRule="auto"/>
        <w:ind w:left="0" w:right="0" w:firstLine="0" w:firstLineChars="0"/>
        <w:jc w:val="center"/>
        <w:textAlignment w:val="baseline"/>
        <w:rPr>
          <w:color w:val="auto"/>
        </w:rPr>
      </w:pPr>
      <w:r>
        <w:rPr>
          <w:rFonts w:ascii="宋体" w:hAnsi="宋体" w:eastAsia="宋体" w:cs="宋体"/>
          <w:i w:val="false"/>
          <w:strike w:val="false"/>
          <w:color w:val="auto"/>
          <w:spacing w:val="0"/>
          <w:sz w:val="28"/>
          <w:u w:val="none"/>
        </w:rPr>
        <w:t>RO</w:t>
      </w:r>
      <w:r>
        <w:rPr>
          <w:rFonts w:hint="eastAsia" w:ascii="宋体" w:hAnsi="宋体" w:eastAsia="宋体" w:cs="宋体"/>
          <w:i w:val="false"/>
          <w:strike w:val="false"/>
          <w:color w:val="auto"/>
          <w:spacing w:val="0"/>
          <w:sz w:val="28"/>
          <w:u w:val="none"/>
          <w:lang w:val="en-US" w:eastAsia="zh-CN"/>
        </w:rPr>
        <w:t>I</w:t>
      </w:r>
      <w:r>
        <w:rPr>
          <w:rFonts w:ascii="宋体" w:hAnsi="宋体" w:eastAsia="宋体" w:cs="宋体"/>
          <w:i w:val="false"/>
          <w:strike w:val="false"/>
          <w:color w:val="auto"/>
          <w:spacing w:val="0"/>
          <w:sz w:val="28"/>
          <w:u w:val="none"/>
        </w:rPr>
        <w:t>=EBIT/TI*100%=</w:t>
      </w:r>
      <w:r>
        <w:rPr>
          <w:rFonts w:hint="eastAsia" w:ascii="宋体" w:hAnsi="宋体" w:eastAsia="宋体" w:cs="宋体"/>
          <w:i w:val="false"/>
          <w:strike w:val="false"/>
          <w:color w:val="auto"/>
          <w:spacing w:val="0"/>
          <w:sz w:val="28"/>
          <w:u w:val="none"/>
          <w:lang w:val="en-US" w:eastAsia="zh-CN"/>
        </w:rPr>
        <w:t>5.69</w:t>
      </w:r>
      <w:r>
        <w:rPr>
          <w:rFonts w:ascii="宋体" w:hAnsi="宋体" w:eastAsia="宋体" w:cs="宋体"/>
          <w:i w:val="false"/>
          <w:strike w:val="false"/>
          <w:color w:val="auto"/>
          <w:spacing w:val="0"/>
          <w:sz w:val="28"/>
          <w:u w:val="none"/>
        </w:rPr>
        <w:t>%</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式中：EBIT—项目正常年份的年息税前利润或运营期内年平均息税前利润；TI—项目总投资</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6.2.7 资本金净利润率（ROE）</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按照《方法与参数》的规定，资本金净利润率（ROE）表示利润总额占用资本金的百分比，这个比值反映了投资者投入企业资本金的获利能力，是一种获利能力的标准性的指标。其计算公式如下：</w:t>
      </w:r>
    </w:p>
    <w:p>
      <w:pPr>
        <w:keepNext w:val="false"/>
        <w:keepLines w:val="false"/>
        <w:pageBreakBefore w:val="false"/>
        <w:widowControl w:val="false"/>
        <w:kinsoku/>
        <w:wordWrap/>
        <w:overflowPunct/>
        <w:topLinePunct w:val="false"/>
        <w:autoSpaceDE w:val="false"/>
        <w:autoSpaceDN w:val="false"/>
        <w:bidi w:val="false"/>
        <w:adjustRightInd/>
        <w:snapToGrid/>
        <w:spacing w:before="157" w:beforeLines="50" w:after="157" w:afterLines="50" w:line="360" w:lineRule="auto"/>
        <w:ind w:left="0" w:right="0" w:firstLine="0" w:firstLineChars="0"/>
        <w:jc w:val="center"/>
        <w:textAlignment w:val="baseline"/>
        <w:rPr>
          <w:rFonts w:ascii="宋体" w:hAnsi="宋体" w:eastAsia="宋体" w:cs="宋体"/>
          <w:i w:val="false"/>
          <w:strike w:val="false"/>
          <w:color w:val="000000"/>
          <w:spacing w:val="0"/>
          <w:sz w:val="28"/>
          <w:u w:val="none"/>
        </w:rPr>
      </w:pPr>
      <w:r>
        <w:rPr>
          <w:rFonts w:ascii="宋体" w:hAnsi="宋体" w:eastAsia="宋体" w:cs="宋体"/>
          <w:i w:val="false"/>
          <w:strike w:val="false"/>
          <w:color w:val="000000"/>
          <w:spacing w:val="0"/>
          <w:sz w:val="28"/>
          <w:u w:val="none"/>
        </w:rPr>
        <w:t>ROE=NP/EC*100%=</w:t>
      </w:r>
      <w:r>
        <w:rPr>
          <w:rFonts w:hint="eastAsia" w:ascii="宋体" w:hAnsi="宋体" w:eastAsia="宋体" w:cs="宋体"/>
          <w:i w:val="false"/>
          <w:strike w:val="false"/>
          <w:color w:val="000000"/>
          <w:spacing w:val="0"/>
          <w:sz w:val="28"/>
          <w:u w:val="none"/>
          <w:lang w:val="en-US" w:eastAsia="zh-CN"/>
        </w:rPr>
        <w:t>12.50</w:t>
      </w:r>
      <w:r>
        <w:rPr>
          <w:rFonts w:ascii="宋体" w:hAnsi="宋体" w:eastAsia="宋体" w:cs="宋体"/>
          <w:i w:val="false"/>
          <w:strike w:val="false"/>
          <w:color w:val="000000"/>
          <w:spacing w:val="0"/>
          <w:sz w:val="28"/>
          <w:u w:val="none"/>
        </w:rPr>
        <w:t>%</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其中：NP—项目达到设计生产能力后正常年份的税后净利润或运营期内税后年平均净利润，净利润=利润总额-所得税；EC—项目资本金。</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6.2.8 税后财务内部收益率（FIRR）</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按照《方法与参数》的规定，财务内部收益率（FIRR）系指项目计算期内净现金流量现值累计等于零时的折现率。其计算公式如下：</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360" w:lineRule="auto"/>
        <w:ind w:left="0"/>
        <w:jc w:val="center"/>
        <w:textAlignment w:val="baseline"/>
        <w:rPr>
          <w:color w:val="FF0000"/>
        </w:rPr>
      </w:pPr>
      <w:r>
        <w:rPr>
          <w:color w:val="FF0000"/>
        </w:rPr>
        <w:drawing>
          <wp:inline distT="0" distB="0" distL="0" distR="0">
            <wp:extent cx="2362200" cy="542290"/>
            <wp:effectExtent l="0" t="0" r="0" b="10160"/>
            <wp:docPr id="56" name="picture" descr="descript"/>
            <wp:cNvGraphicFramePr/>
            <a:graphic>
              <a:graphicData uri="http://schemas.openxmlformats.org/drawingml/2006/picture">
                <pic:pic>
                  <pic:nvPicPr>
                    <pic:cNvPr id="57" name="picture" descr="descript"/>
                    <pic:cNvPicPr/>
                  </pic:nvPicPr>
                  <pic:blipFill>
                    <a:blip r:embed="rId25"/>
                    <a:stretch>
                      <a:fillRect/>
                    </a:stretch>
                  </pic:blipFill>
                  <pic:spPr>
                    <a:xfrm>
                      <a:off x="0" y="0"/>
                      <a:ext cx="2362200" cy="542290"/>
                    </a:xfrm>
                    <a:prstGeom prst="rect">
                      <a:avLst/>
                    </a:prstGeom>
                  </pic:spPr>
                </pic:pic>
              </a:graphicData>
            </a:graphic>
          </wp:inline>
        </w:drawing>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式中：CI为现金流入，CO为现金流出，下同。</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本项目税后全部投资财务内部收益率（FIRR）计算结果为7.84%。</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6.2.9 税后财务净现值（FNPV）</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按照《方法与参数》的规定，财务净现值（FNPV）系指按设定的折现率（一般采用基准收益率ic）计算项目计算期内各年净现金流量的现值之和。</w:t>
      </w:r>
    </w:p>
    <w:p>
      <w:pPr>
        <w:snapToGrid/>
        <w:spacing w:before="161" w:after="161" w:line="360" w:lineRule="auto"/>
        <w:ind w:left="0"/>
        <w:jc w:val="center"/>
        <w:rPr>
          <w:color w:val="FF0000"/>
        </w:rPr>
      </w:pPr>
      <w:r>
        <w:rPr>
          <w:color w:val="FF0000"/>
        </w:rPr>
        <w:drawing>
          <wp:inline distT="0" distB="0" distL="0" distR="0">
            <wp:extent cx="2514600" cy="457200"/>
            <wp:effectExtent l="0" t="0" r="0" b="0"/>
            <wp:docPr id="59" name="picture" descr="descript"/>
            <wp:cNvGraphicFramePr/>
            <a:graphic>
              <a:graphicData uri="http://schemas.openxmlformats.org/drawingml/2006/picture">
                <pic:pic>
                  <pic:nvPicPr>
                    <pic:cNvPr id="60" name="picture" descr="descript"/>
                    <pic:cNvPicPr/>
                  </pic:nvPicPr>
                  <pic:blipFill>
                    <a:blip r:embed="rId26"/>
                    <a:stretch>
                      <a:fillRect/>
                    </a:stretch>
                  </pic:blipFill>
                  <pic:spPr>
                    <a:xfrm>
                      <a:off x="0" y="0"/>
                      <a:ext cx="2514600" cy="457200"/>
                    </a:xfrm>
                    <a:prstGeom prst="rect">
                      <a:avLst/>
                    </a:prstGeom>
                  </pic:spPr>
                </pic:pic>
              </a:graphicData>
            </a:graphic>
          </wp:inline>
        </w:drawing>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式中Ic为基准收益率，本项目为4.2%。</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本项目税后全部投资财务净现值（FNPV）计算结果为847.71万元。</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6.2.10 所得税后动态投资回收期（Pt）</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按照《方法与参数》的规定，投资回收期（Pt）系指以项目的净收益回收项目投资所需要的时间。其计算公式如下：</w:t>
      </w:r>
    </w:p>
    <w:p>
      <w:pPr>
        <w:keepNext w:val="false"/>
        <w:keepLines w:val="false"/>
        <w:pageBreakBefore w:val="false"/>
        <w:widowControl w:val="false"/>
        <w:kinsoku/>
        <w:wordWrap/>
        <w:overflowPunct/>
        <w:topLinePunct/>
        <w:autoSpaceDE w:val="false"/>
        <w:autoSpaceDN/>
        <w:bidi w:val="false"/>
        <w:adjustRightInd/>
        <w:snapToGrid/>
        <w:spacing w:before="157" w:beforeLines="50" w:after="28" w:line="360" w:lineRule="auto"/>
        <w:ind w:left="0" w:firstLine="560" w:firstLineChars="200"/>
        <w:jc w:val="center"/>
        <w:textAlignment w:val="baseline"/>
        <w:rPr>
          <w:rFonts w:ascii="宋体" w:hAnsi="宋体" w:eastAsia="宋体" w:cs="宋体"/>
          <w:i w:val="false"/>
          <w:strike w:val="false"/>
          <w:color w:val="000000"/>
          <w:spacing w:val="0"/>
          <w:sz w:val="28"/>
          <w:u w:val="none"/>
        </w:rPr>
      </w:pPr>
      <w:r>
        <w:rPr>
          <w:rFonts w:ascii="宋体" w:hAnsi="宋体" w:eastAsia="宋体" w:cs="宋体"/>
          <w:i w:val="false"/>
          <w:strike w:val="false"/>
          <w:color w:val="000000"/>
          <w:spacing w:val="0"/>
          <w:sz w:val="28"/>
          <w:u w:val="none"/>
        </w:rPr>
        <w:drawing>
          <wp:inline distT="0" distB="0" distL="0" distR="0">
            <wp:extent cx="1447800" cy="533400"/>
            <wp:effectExtent l="0" t="0" r="0" b="0"/>
            <wp:docPr id="62" name="picture" descr="descript"/>
            <wp:cNvGraphicFramePr/>
            <a:graphic>
              <a:graphicData uri="http://schemas.openxmlformats.org/drawingml/2006/picture">
                <pic:pic>
                  <pic:nvPicPr>
                    <pic:cNvPr id="63" name="picture" descr="descript"/>
                    <pic:cNvPicPr/>
                  </pic:nvPicPr>
                  <pic:blipFill>
                    <a:blip r:embed="rId27"/>
                    <a:stretch>
                      <a:fillRect/>
                    </a:stretch>
                  </pic:blipFill>
                  <pic:spPr>
                    <a:xfrm>
                      <a:off x="0" y="0"/>
                      <a:ext cx="1447800" cy="533400"/>
                    </a:xfrm>
                    <a:prstGeom prst="rect">
                      <a:avLst/>
                    </a:prstGeom>
                  </pic:spPr>
                </pic:pic>
              </a:graphicData>
            </a:graphic>
          </wp:inline>
        </w:drawing>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本项目税后投资回收期（Pt）经计算为11.31年（含建设期）。</w:t>
      </w:r>
    </w:p>
    <w:p>
      <w:pPr>
        <w:keepNext w:val="false"/>
        <w:keepLines w:val="false"/>
        <w:pageBreakBefore w:val="false"/>
        <w:widowControl w:val="false"/>
        <w:kinsoku/>
        <w:wordWrap/>
        <w:overflowPunct/>
        <w:topLinePunct/>
        <w:autoSpaceDE w:val="false"/>
        <w:autoSpaceDN/>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6.2.11 盈亏平衡分析</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各种不确定性因素的变化会影响投资方案的经济效果，当这些因素的变化达到某一临界值时，就会使方案的损益情况产生质变。</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进行盈亏平衡分析，目的是找出该临界值，以判断投资方案对不确定性因素变化的承受能力，旨在为决策提供依据。</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盈亏平衡分析是通过盈亏平衡点（BEP）分析项目成本与收益的平衡关系的一种方法。盈亏平衡点通常根据正常年份的经营收入、可变成本、固定成本、价格和税金及附加等数据计算，用项目能力利用率表示。其计算公式为：</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BEP项目能力利用率=年固定成本/（年营业收入-年可变成本-年营业税金及附加）×100％=52.59%</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6.2.12 敏感性分析</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本项目主要风险因素包括销售收入、原材料、经营成本、固定资产投资等因素的变化，而投资值的影响。</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基本方案的基本指标，满足了财务基准值的要求，考虑项目实施过程中的一些不确定因素的变化，分别对销售价格、销售量(增减幅度分别为5%、10%、15%、-5%、-10%和-15%)、经营成本、固定资产投资进行单因素分析(增减幅度分别为5%、10%、15%、-5%、-10%和-15%)，销售价格与销售量的变化数值从理论上分析应该是一致的，即单因素变化对内部收益率、投资回收期的影响进行敏感性分析。</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jc w:val="center"/>
        <w:textAlignment w:val="baseline"/>
        <w:rPr>
          <w:rFonts w:hint="eastAsia" w:ascii="宋体" w:hAnsi="宋体" w:eastAsia="宋体" w:cs="宋体"/>
          <w:b/>
          <w:bCs/>
          <w:sz w:val="28"/>
          <w:szCs w:val="28"/>
        </w:rPr>
      </w:pPr>
      <w:r>
        <w:rPr>
          <w:rFonts w:hint="eastAsia" w:ascii="宋体" w:hAnsi="宋体" w:eastAsia="宋体" w:cs="宋体"/>
          <w:b/>
          <w:bCs/>
          <w:sz w:val="28"/>
          <w:szCs w:val="28"/>
        </w:rPr>
        <w:t>财务敏感性分析表</w:t>
      </w:r>
    </w:p>
    <w:tbl>
      <w:tblPr>
        <w:tblStyle w:val="0000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5"/>
        <w:gridCol w:w="1095"/>
        <w:gridCol w:w="990"/>
        <w:gridCol w:w="975"/>
        <w:gridCol w:w="990"/>
        <w:gridCol w:w="975"/>
        <w:gridCol w:w="990"/>
        <w:gridCol w:w="1110"/>
      </w:tblGrid>
      <w:tr>
        <w:trPr>
          <w:trHeight w:val="464" w:hRule="atLeast"/>
        </w:trPr>
        <w:tc>
          <w:tcPr>
            <w:tcW w:w="1425"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color w:val="auto"/>
              </w:rPr>
            </w:pPr>
            <w:r>
              <w:rPr>
                <w:rFonts w:ascii="宋体" w:hAnsi="宋体" w:eastAsia="宋体" w:cs="宋体"/>
                <w:i w:val="false"/>
                <w:strike w:val="false"/>
                <w:color w:val="auto"/>
                <w:spacing w:val="0"/>
                <w:sz w:val="21"/>
                <w:u w:val="none"/>
              </w:rPr>
              <w:t>变动幅度</w:t>
            </w:r>
          </w:p>
        </w:tc>
        <w:tc>
          <w:tcPr>
            <w:tcW w:w="1095"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color w:val="auto"/>
              </w:rPr>
            </w:pPr>
            <w:r>
              <w:rPr>
                <w:rFonts w:ascii="宋体" w:hAnsi="宋体" w:eastAsia="宋体" w:cs="宋体"/>
                <w:i w:val="false"/>
                <w:strike w:val="false"/>
                <w:color w:val="auto"/>
                <w:spacing w:val="0"/>
                <w:sz w:val="21"/>
                <w:u w:val="none"/>
              </w:rPr>
              <w:t>-15%</w:t>
            </w:r>
          </w:p>
        </w:tc>
        <w:tc>
          <w:tcPr>
            <w:tcW w:w="990"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color w:val="auto"/>
              </w:rPr>
            </w:pPr>
            <w:r>
              <w:rPr>
                <w:rFonts w:ascii="宋体" w:hAnsi="宋体" w:eastAsia="宋体" w:cs="宋体"/>
                <w:i w:val="false"/>
                <w:strike w:val="false"/>
                <w:color w:val="auto"/>
                <w:spacing w:val="0"/>
                <w:sz w:val="21"/>
                <w:u w:val="none"/>
              </w:rPr>
              <w:t>-10%</w:t>
            </w:r>
          </w:p>
        </w:tc>
        <w:tc>
          <w:tcPr>
            <w:tcW w:w="975"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color w:val="auto"/>
              </w:rPr>
            </w:pPr>
            <w:r>
              <w:rPr>
                <w:rFonts w:ascii="宋体" w:hAnsi="宋体" w:eastAsia="宋体" w:cs="宋体"/>
                <w:i w:val="false"/>
                <w:strike w:val="false"/>
                <w:color w:val="auto"/>
                <w:spacing w:val="0"/>
                <w:sz w:val="21"/>
                <w:u w:val="none"/>
              </w:rPr>
              <w:t>-5%</w:t>
            </w:r>
          </w:p>
        </w:tc>
        <w:tc>
          <w:tcPr>
            <w:tcW w:w="990"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color w:val="auto"/>
              </w:rPr>
            </w:pPr>
            <w:r>
              <w:rPr>
                <w:rFonts w:ascii="宋体" w:hAnsi="宋体" w:eastAsia="宋体" w:cs="宋体"/>
                <w:i w:val="false"/>
                <w:strike w:val="false"/>
                <w:color w:val="auto"/>
                <w:spacing w:val="0"/>
                <w:sz w:val="21"/>
                <w:u w:val="none"/>
              </w:rPr>
              <w:t>0%</w:t>
            </w:r>
          </w:p>
        </w:tc>
        <w:tc>
          <w:tcPr>
            <w:tcW w:w="975"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color w:val="auto"/>
              </w:rPr>
            </w:pPr>
            <w:r>
              <w:rPr>
                <w:rFonts w:ascii="宋体" w:hAnsi="宋体" w:eastAsia="宋体" w:cs="宋体"/>
                <w:i w:val="false"/>
                <w:strike w:val="false"/>
                <w:color w:val="auto"/>
                <w:spacing w:val="0"/>
                <w:sz w:val="21"/>
                <w:u w:val="none"/>
              </w:rPr>
              <w:t>5%</w:t>
            </w:r>
          </w:p>
        </w:tc>
        <w:tc>
          <w:tcPr>
            <w:tcW w:w="990"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color w:val="auto"/>
              </w:rPr>
            </w:pPr>
            <w:r>
              <w:rPr>
                <w:rFonts w:ascii="宋体" w:hAnsi="宋体" w:eastAsia="宋体" w:cs="宋体"/>
                <w:i w:val="false"/>
                <w:strike w:val="false"/>
                <w:color w:val="auto"/>
                <w:spacing w:val="0"/>
                <w:sz w:val="21"/>
                <w:u w:val="none"/>
              </w:rPr>
              <w:t>10%</w:t>
            </w:r>
          </w:p>
        </w:tc>
        <w:tc>
          <w:tcPr>
            <w:tcW w:w="1110"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color w:val="auto"/>
              </w:rPr>
            </w:pPr>
            <w:r>
              <w:rPr>
                <w:rFonts w:ascii="宋体" w:hAnsi="宋体" w:eastAsia="宋体" w:cs="宋体"/>
                <w:i w:val="false"/>
                <w:strike w:val="false"/>
                <w:color w:val="auto"/>
                <w:spacing w:val="0"/>
                <w:sz w:val="21"/>
                <w:u w:val="none"/>
              </w:rPr>
              <w:t>15%</w:t>
            </w:r>
          </w:p>
        </w:tc>
      </w:tr>
      <w:tr>
        <w:trPr>
          <w:trHeight w:val="461" w:hRule="atLeast"/>
        </w:trPr>
        <w:tc>
          <w:tcPr>
            <w:tcW w:w="1425"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color w:val="auto"/>
              </w:rPr>
            </w:pPr>
            <w:r>
              <w:rPr>
                <w:rFonts w:ascii="宋体" w:hAnsi="宋体" w:eastAsia="宋体" w:cs="宋体"/>
                <w:i w:val="false"/>
                <w:strike w:val="false"/>
                <w:color w:val="auto"/>
                <w:spacing w:val="0"/>
                <w:sz w:val="21"/>
                <w:u w:val="none"/>
              </w:rPr>
              <w:t>销售收入</w:t>
            </w:r>
          </w:p>
        </w:tc>
        <w:tc>
          <w:tcPr>
            <w:tcW w:w="1095"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rFonts w:hint="default" w:eastAsia="宋体"/>
                <w:color w:val="auto"/>
                <w:lang w:val="en-US" w:eastAsia="zh-CN"/>
              </w:rPr>
            </w:pPr>
            <w:r>
              <w:rPr>
                <w:rFonts w:ascii="宋体" w:hAnsi="宋体" w:eastAsia="宋体" w:cs="宋体"/>
                <w:i w:val="false"/>
                <w:strike w:val="false"/>
                <w:color w:val="auto"/>
                <w:spacing w:val="0"/>
                <w:sz w:val="21"/>
                <w:u w:val="none"/>
              </w:rPr>
              <w:t>5.20</w:t>
            </w:r>
          </w:p>
        </w:tc>
        <w:tc>
          <w:tcPr>
            <w:tcW w:w="990"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rFonts w:hint="default" w:eastAsia="宋体"/>
                <w:color w:val="auto"/>
                <w:lang w:val="en-US" w:eastAsia="zh-CN"/>
              </w:rPr>
            </w:pPr>
            <w:r>
              <w:rPr>
                <w:rFonts w:ascii="宋体" w:hAnsi="宋体" w:eastAsia="宋体" w:cs="宋体"/>
                <w:i w:val="false"/>
                <w:strike w:val="false"/>
                <w:color w:val="auto"/>
                <w:spacing w:val="0"/>
                <w:sz w:val="21"/>
                <w:u w:val="none"/>
              </w:rPr>
              <w:t>6.06</w:t>
            </w:r>
          </w:p>
        </w:tc>
        <w:tc>
          <w:tcPr>
            <w:tcW w:w="975"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rFonts w:hint="default" w:eastAsia="宋体"/>
                <w:color w:val="auto"/>
                <w:lang w:val="en-US" w:eastAsia="zh-CN"/>
              </w:rPr>
            </w:pPr>
            <w:r>
              <w:rPr>
                <w:rFonts w:hint="eastAsia" w:ascii="宋体" w:hAnsi="宋体" w:eastAsia="宋体" w:cs="宋体"/>
                <w:i w:val="false"/>
                <w:strike w:val="false"/>
                <w:color w:val="auto"/>
                <w:spacing w:val="0"/>
                <w:sz w:val="21"/>
                <w:u w:val="none"/>
                <w:lang w:val="en-US" w:eastAsia="zh-CN"/>
              </w:rPr>
              <w:t>6.92</w:t>
            </w:r>
          </w:p>
        </w:tc>
        <w:tc>
          <w:tcPr>
            <w:tcW w:w="990"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rFonts w:hint="default" w:eastAsia="宋体"/>
                <w:color w:val="auto"/>
                <w:lang w:val="en-US" w:eastAsia="zh-CN"/>
              </w:rPr>
            </w:pPr>
            <w:r>
              <w:rPr>
                <w:rFonts w:hint="eastAsia" w:ascii="宋体" w:hAnsi="宋体" w:eastAsia="宋体" w:cs="宋体"/>
                <w:i w:val="false"/>
                <w:strike w:val="false"/>
                <w:color w:val="auto"/>
                <w:spacing w:val="0"/>
                <w:sz w:val="21"/>
                <w:u w:val="none"/>
                <w:lang w:val="en-US" w:eastAsia="zh-CN"/>
              </w:rPr>
              <w:t>7.84</w:t>
            </w:r>
          </w:p>
        </w:tc>
        <w:tc>
          <w:tcPr>
            <w:tcW w:w="975"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rFonts w:hint="default" w:eastAsia="宋体"/>
                <w:color w:val="auto"/>
                <w:lang w:val="en-US" w:eastAsia="zh-CN"/>
              </w:rPr>
            </w:pPr>
            <w:r>
              <w:rPr>
                <w:rFonts w:hint="eastAsia" w:ascii="宋体" w:hAnsi="宋体" w:eastAsia="宋体" w:cs="宋体"/>
                <w:i w:val="false"/>
                <w:strike w:val="false"/>
                <w:color w:val="auto"/>
                <w:spacing w:val="0"/>
                <w:sz w:val="21"/>
                <w:u w:val="none"/>
                <w:lang w:val="en-US" w:eastAsia="zh-CN"/>
              </w:rPr>
              <w:t>8.64</w:t>
            </w:r>
          </w:p>
        </w:tc>
        <w:tc>
          <w:tcPr>
            <w:tcW w:w="990"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rFonts w:hint="default" w:eastAsia="宋体"/>
                <w:color w:val="auto"/>
                <w:lang w:val="en-US" w:eastAsia="zh-CN"/>
              </w:rPr>
            </w:pPr>
            <w:r>
              <w:rPr>
                <w:rFonts w:hint="eastAsia" w:ascii="宋体" w:hAnsi="宋体" w:eastAsia="宋体" w:cs="宋体"/>
                <w:i w:val="false"/>
                <w:strike w:val="false"/>
                <w:color w:val="auto"/>
                <w:spacing w:val="0"/>
                <w:sz w:val="21"/>
                <w:u w:val="none"/>
                <w:lang w:val="en-US" w:eastAsia="zh-CN"/>
              </w:rPr>
              <w:t>9.50</w:t>
            </w:r>
          </w:p>
        </w:tc>
        <w:tc>
          <w:tcPr>
            <w:tcW w:w="1110"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rFonts w:hint="default" w:eastAsia="宋体"/>
                <w:color w:val="FF0000"/>
                <w:lang w:val="en-US" w:eastAsia="zh-CN"/>
              </w:rPr>
            </w:pPr>
            <w:r>
              <w:rPr>
                <w:rFonts w:hint="eastAsia" w:ascii="宋体" w:hAnsi="宋体" w:eastAsia="宋体" w:cs="宋体"/>
                <w:i w:val="false"/>
                <w:strike w:val="false"/>
                <w:color w:val="auto"/>
                <w:spacing w:val="0"/>
                <w:sz w:val="21"/>
                <w:u w:val="none"/>
                <w:lang w:val="en-US" w:eastAsia="zh-CN"/>
              </w:rPr>
              <w:t>10.36</w:t>
            </w:r>
          </w:p>
        </w:tc>
      </w:tr>
      <w:tr>
        <w:trPr>
          <w:trHeight w:val="435" w:hRule="atLeast"/>
        </w:trPr>
        <w:tc>
          <w:tcPr>
            <w:tcW w:w="1425"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color w:val="auto"/>
              </w:rPr>
            </w:pPr>
            <w:r>
              <w:rPr>
                <w:rFonts w:ascii="宋体" w:hAnsi="宋体" w:eastAsia="宋体" w:cs="宋体"/>
                <w:i w:val="false"/>
                <w:strike w:val="false"/>
                <w:color w:val="auto"/>
                <w:spacing w:val="0"/>
                <w:sz w:val="21"/>
                <w:u w:val="none"/>
              </w:rPr>
              <w:t>经营成本</w:t>
            </w:r>
          </w:p>
        </w:tc>
        <w:tc>
          <w:tcPr>
            <w:tcW w:w="1095"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rFonts w:hint="default" w:eastAsia="宋体"/>
                <w:color w:val="auto"/>
                <w:lang w:val="en-US" w:eastAsia="zh-CN"/>
              </w:rPr>
            </w:pPr>
            <w:r>
              <w:rPr>
                <w:rFonts w:hint="eastAsia" w:ascii="宋体" w:hAnsi="宋体" w:eastAsia="宋体" w:cs="宋体"/>
                <w:i w:val="false"/>
                <w:strike w:val="false"/>
                <w:color w:val="auto"/>
                <w:spacing w:val="0"/>
                <w:sz w:val="21"/>
                <w:u w:val="none"/>
                <w:lang w:val="en-US" w:eastAsia="zh-CN"/>
              </w:rPr>
              <w:t>8.22</w:t>
            </w:r>
          </w:p>
        </w:tc>
        <w:tc>
          <w:tcPr>
            <w:tcW w:w="990"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rFonts w:hint="default" w:eastAsia="宋体"/>
                <w:color w:val="auto"/>
                <w:lang w:val="en-US" w:eastAsia="zh-CN"/>
              </w:rPr>
            </w:pPr>
            <w:r>
              <w:rPr>
                <w:rFonts w:hint="eastAsia" w:ascii="宋体" w:hAnsi="宋体" w:eastAsia="宋体" w:cs="宋体"/>
                <w:i w:val="false"/>
                <w:strike w:val="false"/>
                <w:color w:val="auto"/>
                <w:spacing w:val="0"/>
                <w:sz w:val="21"/>
                <w:u w:val="none"/>
                <w:lang w:val="en-US" w:eastAsia="zh-CN"/>
              </w:rPr>
              <w:t>8.08</w:t>
            </w:r>
          </w:p>
        </w:tc>
        <w:tc>
          <w:tcPr>
            <w:tcW w:w="975"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rFonts w:hint="default" w:eastAsia="宋体"/>
                <w:color w:val="auto"/>
                <w:lang w:val="en-US" w:eastAsia="zh-CN"/>
              </w:rPr>
            </w:pPr>
            <w:r>
              <w:rPr>
                <w:rFonts w:hint="eastAsia" w:ascii="宋体" w:hAnsi="宋体" w:eastAsia="宋体" w:cs="宋体"/>
                <w:i w:val="false"/>
                <w:strike w:val="false"/>
                <w:color w:val="auto"/>
                <w:spacing w:val="0"/>
                <w:sz w:val="21"/>
                <w:u w:val="none"/>
                <w:lang w:val="en-US" w:eastAsia="zh-CN"/>
              </w:rPr>
              <w:t>7.93</w:t>
            </w:r>
          </w:p>
        </w:tc>
        <w:tc>
          <w:tcPr>
            <w:tcW w:w="990"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rFonts w:hint="default" w:eastAsia="宋体"/>
                <w:color w:val="auto"/>
                <w:lang w:val="en-US" w:eastAsia="zh-CN"/>
              </w:rPr>
            </w:pPr>
            <w:r>
              <w:rPr>
                <w:rFonts w:hint="eastAsia" w:ascii="宋体" w:hAnsi="宋体" w:eastAsia="宋体" w:cs="宋体"/>
                <w:i w:val="false"/>
                <w:strike w:val="false"/>
                <w:color w:val="auto"/>
                <w:spacing w:val="0"/>
                <w:sz w:val="21"/>
                <w:u w:val="none"/>
                <w:lang w:val="en-US" w:eastAsia="zh-CN"/>
              </w:rPr>
              <w:t>7.84</w:t>
            </w:r>
          </w:p>
        </w:tc>
        <w:tc>
          <w:tcPr>
            <w:tcW w:w="975"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rFonts w:hint="default" w:eastAsia="宋体"/>
                <w:color w:val="auto"/>
                <w:lang w:val="en-US" w:eastAsia="zh-CN"/>
              </w:rPr>
            </w:pPr>
            <w:r>
              <w:rPr>
                <w:rFonts w:hint="eastAsia" w:ascii="宋体" w:hAnsi="宋体" w:eastAsia="宋体" w:cs="宋体"/>
                <w:i w:val="false"/>
                <w:strike w:val="false"/>
                <w:color w:val="auto"/>
                <w:spacing w:val="0"/>
                <w:sz w:val="21"/>
                <w:u w:val="none"/>
                <w:lang w:val="en-US" w:eastAsia="zh-CN"/>
              </w:rPr>
              <w:t>7.64</w:t>
            </w:r>
          </w:p>
        </w:tc>
        <w:tc>
          <w:tcPr>
            <w:tcW w:w="990"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rFonts w:hint="default" w:eastAsia="宋体"/>
                <w:color w:val="auto"/>
                <w:lang w:val="en-US" w:eastAsia="zh-CN"/>
              </w:rPr>
            </w:pPr>
            <w:r>
              <w:rPr>
                <w:rFonts w:hint="eastAsia" w:ascii="宋体" w:hAnsi="宋体" w:eastAsia="宋体" w:cs="宋体"/>
                <w:i w:val="false"/>
                <w:strike w:val="false"/>
                <w:color w:val="auto"/>
                <w:spacing w:val="0"/>
                <w:sz w:val="21"/>
                <w:u w:val="none"/>
                <w:lang w:val="en-US" w:eastAsia="zh-CN"/>
              </w:rPr>
              <w:t>7.49</w:t>
            </w:r>
          </w:p>
        </w:tc>
        <w:tc>
          <w:tcPr>
            <w:tcW w:w="1110"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rFonts w:hint="default" w:eastAsia="宋体"/>
                <w:color w:val="auto"/>
                <w:lang w:val="en-US" w:eastAsia="zh-CN"/>
              </w:rPr>
            </w:pPr>
            <w:r>
              <w:rPr>
                <w:rFonts w:hint="eastAsia" w:ascii="宋体" w:hAnsi="宋体" w:eastAsia="宋体" w:cs="宋体"/>
                <w:i w:val="false"/>
                <w:strike w:val="false"/>
                <w:color w:val="auto"/>
                <w:spacing w:val="0"/>
                <w:sz w:val="21"/>
                <w:u w:val="none"/>
                <w:lang w:val="en-US" w:eastAsia="zh-CN"/>
              </w:rPr>
              <w:t>7.35</w:t>
            </w:r>
          </w:p>
        </w:tc>
      </w:tr>
      <w:tr>
        <w:trPr>
          <w:trHeight w:val="499" w:hRule="atLeast"/>
        </w:trPr>
        <w:tc>
          <w:tcPr>
            <w:tcW w:w="1425"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color w:val="auto"/>
              </w:rPr>
            </w:pPr>
            <w:r>
              <w:rPr>
                <w:rFonts w:ascii="宋体" w:hAnsi="宋体" w:eastAsia="宋体" w:cs="宋体"/>
                <w:i w:val="false"/>
                <w:strike w:val="false"/>
                <w:color w:val="auto"/>
                <w:spacing w:val="0"/>
                <w:sz w:val="21"/>
                <w:u w:val="none"/>
              </w:rPr>
              <w:t>建安投资</w:t>
            </w:r>
          </w:p>
        </w:tc>
        <w:tc>
          <w:tcPr>
            <w:tcW w:w="1095"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rFonts w:hint="default" w:eastAsia="宋体"/>
                <w:color w:val="auto"/>
                <w:lang w:val="en-US" w:eastAsia="zh-CN"/>
              </w:rPr>
            </w:pPr>
            <w:r>
              <w:rPr>
                <w:rFonts w:hint="eastAsia" w:ascii="宋体" w:hAnsi="宋体" w:eastAsia="宋体" w:cs="宋体"/>
                <w:i w:val="false"/>
                <w:strike w:val="false"/>
                <w:color w:val="auto"/>
                <w:spacing w:val="0"/>
                <w:sz w:val="21"/>
                <w:u w:val="none"/>
                <w:lang w:val="en-US" w:eastAsia="zh-CN"/>
              </w:rPr>
              <w:t>10.04</w:t>
            </w:r>
          </w:p>
        </w:tc>
        <w:tc>
          <w:tcPr>
            <w:tcW w:w="990"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rFonts w:hint="default" w:eastAsia="宋体"/>
                <w:color w:val="auto"/>
                <w:lang w:val="en-US" w:eastAsia="zh-CN"/>
              </w:rPr>
            </w:pPr>
            <w:r>
              <w:rPr>
                <w:rFonts w:hint="eastAsia" w:ascii="宋体" w:hAnsi="宋体" w:eastAsia="宋体" w:cs="宋体"/>
                <w:i w:val="false"/>
                <w:strike w:val="false"/>
                <w:color w:val="auto"/>
                <w:spacing w:val="0"/>
                <w:sz w:val="21"/>
                <w:u w:val="none"/>
                <w:lang w:val="en-US" w:eastAsia="zh-CN"/>
              </w:rPr>
              <w:t>9.20</w:t>
            </w:r>
          </w:p>
        </w:tc>
        <w:tc>
          <w:tcPr>
            <w:tcW w:w="975"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rFonts w:hint="default" w:eastAsia="宋体"/>
                <w:color w:val="auto"/>
                <w:lang w:val="en-US" w:eastAsia="zh-CN"/>
              </w:rPr>
            </w:pPr>
            <w:r>
              <w:rPr>
                <w:rFonts w:hint="eastAsia" w:ascii="宋体" w:hAnsi="宋体" w:eastAsia="宋体" w:cs="宋体"/>
                <w:i w:val="false"/>
                <w:strike w:val="false"/>
                <w:color w:val="auto"/>
                <w:spacing w:val="0"/>
                <w:sz w:val="21"/>
                <w:u w:val="none"/>
                <w:lang w:val="en-US" w:eastAsia="zh-CN"/>
              </w:rPr>
              <w:t>8.46</w:t>
            </w:r>
          </w:p>
        </w:tc>
        <w:tc>
          <w:tcPr>
            <w:tcW w:w="990"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rFonts w:hint="default" w:ascii="宋体" w:hAnsi="宋体" w:eastAsia="宋体" w:cs="宋体"/>
                <w:i w:val="false"/>
                <w:strike w:val="false"/>
                <w:color w:val="auto"/>
                <w:spacing w:val="0"/>
                <w:sz w:val="21"/>
                <w:u w:val="none"/>
                <w:lang w:val="en-US" w:eastAsia="zh-CN"/>
              </w:rPr>
            </w:pPr>
            <w:r>
              <w:rPr>
                <w:rFonts w:hint="eastAsia" w:ascii="宋体" w:hAnsi="宋体" w:eastAsia="宋体" w:cs="宋体"/>
                <w:i w:val="false"/>
                <w:strike w:val="false"/>
                <w:color w:val="auto"/>
                <w:spacing w:val="0"/>
                <w:sz w:val="21"/>
                <w:u w:val="none"/>
                <w:lang w:val="en-US" w:eastAsia="zh-CN"/>
              </w:rPr>
              <w:t>7.84</w:t>
            </w:r>
          </w:p>
        </w:tc>
        <w:tc>
          <w:tcPr>
            <w:tcW w:w="975"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rFonts w:hint="default" w:ascii="宋体" w:hAnsi="宋体" w:eastAsia="宋体" w:cs="宋体"/>
                <w:i w:val="false"/>
                <w:strike w:val="false"/>
                <w:color w:val="auto"/>
                <w:spacing w:val="0"/>
                <w:sz w:val="21"/>
                <w:u w:val="none"/>
                <w:lang w:val="en-US" w:eastAsia="zh-CN"/>
              </w:rPr>
            </w:pPr>
            <w:r>
              <w:rPr>
                <w:rFonts w:hint="eastAsia" w:ascii="宋体" w:hAnsi="宋体" w:eastAsia="宋体" w:cs="宋体"/>
                <w:i w:val="false"/>
                <w:strike w:val="false"/>
                <w:color w:val="auto"/>
                <w:spacing w:val="0"/>
                <w:sz w:val="21"/>
                <w:u w:val="none"/>
                <w:lang w:val="en-US" w:eastAsia="zh-CN"/>
              </w:rPr>
              <w:t>7.17</w:t>
            </w:r>
          </w:p>
        </w:tc>
        <w:tc>
          <w:tcPr>
            <w:tcW w:w="990"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rFonts w:hint="default" w:eastAsia="宋体"/>
                <w:color w:val="auto"/>
                <w:lang w:val="en-US" w:eastAsia="zh-CN"/>
              </w:rPr>
            </w:pPr>
            <w:r>
              <w:rPr>
                <w:rFonts w:hint="eastAsia" w:ascii="宋体" w:hAnsi="宋体" w:eastAsia="宋体" w:cs="宋体"/>
                <w:i w:val="false"/>
                <w:strike w:val="false"/>
                <w:color w:val="auto"/>
                <w:spacing w:val="0"/>
                <w:sz w:val="21"/>
                <w:u w:val="none"/>
                <w:lang w:val="en-US" w:eastAsia="zh-CN"/>
              </w:rPr>
              <w:t>6.62</w:t>
            </w:r>
          </w:p>
        </w:tc>
        <w:tc>
          <w:tcPr>
            <w:tcW w:w="1110"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rFonts w:hint="default" w:eastAsia="宋体"/>
                <w:color w:val="auto"/>
                <w:lang w:val="en-US" w:eastAsia="zh-CN"/>
              </w:rPr>
            </w:pPr>
            <w:r>
              <w:rPr>
                <w:rFonts w:hint="eastAsia" w:ascii="宋体" w:hAnsi="宋体" w:eastAsia="宋体" w:cs="宋体"/>
                <w:i w:val="false"/>
                <w:strike w:val="false"/>
                <w:color w:val="auto"/>
                <w:spacing w:val="0"/>
                <w:sz w:val="21"/>
                <w:u w:val="none"/>
                <w:lang w:val="en-US" w:eastAsia="zh-CN"/>
              </w:rPr>
              <w:t>6.12</w:t>
            </w:r>
          </w:p>
        </w:tc>
      </w:tr>
    </w:tbl>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该项目具有较强的抗风险能力，但应密切关注中水回用价格的变化，制定适应市场变化的经营策略；同时注意控制项目的成本费用，降低经营成本。</w:t>
      </w:r>
    </w:p>
    <w:bookmarkStart w:id="78" w:name="_Toc15987"/>
    <w:bookmarkStart w:id="79" w:name="_Toc30887"/>
    <w:bookmarkStart w:id="80" w:name="_Toc8749"/>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rPr>
      </w:pPr>
      <w:r>
        <w:rPr>
          <w:rFonts w:hint="eastAsia" w:ascii="宋体" w:hAnsi="宋体" w:eastAsia="宋体" w:cs="宋体"/>
          <w:b/>
          <w:bCs/>
          <w:sz w:val="28"/>
          <w:szCs w:val="28"/>
        </w:rPr>
        <w:t>6.3 资金投入计划和筹措方案</w:t>
      </w:r>
      <w:bookmarkEnd w:id="78"/>
      <w:bookmarkEnd w:id="79"/>
      <w:bookmarkEnd w:id="80"/>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本项目总投资4085.49万元，其中固定资产投资4085.49万元，0.5年建设期内均匀投入。</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在资金筹措方面，项目总投资由资本金和项目融资或其他债务性资金两部分构成，一是资本金885.49万元，占总投资的21.67%，二是项目融资、企业自筹资金或者其他债务性资金3200万元，占总投资的78.33%。</w:t>
      </w:r>
    </w:p>
    <w:bookmarkStart w:id="81" w:name="_Toc21753"/>
    <w:bookmarkStart w:id="82" w:name="_Toc26869"/>
    <w:bookmarkStart w:id="83" w:name="_Toc9143"/>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rPr>
      </w:pPr>
      <w:r>
        <w:rPr>
          <w:rFonts w:hint="eastAsia" w:ascii="宋体" w:hAnsi="宋体" w:eastAsia="宋体" w:cs="宋体"/>
          <w:b/>
          <w:bCs/>
          <w:sz w:val="28"/>
          <w:szCs w:val="28"/>
        </w:rPr>
        <w:t>6.4 债务清偿能力分析</w:t>
      </w:r>
      <w:bookmarkEnd w:id="81"/>
      <w:bookmarkEnd w:id="82"/>
      <w:bookmarkEnd w:id="83"/>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通过现金流量表计算可以看出项目计算期各年能收支平衡，并有盈余，有足够大的经营活动净现金流量，表明有足够的现金流量维持正常运营，实现财务可持续性，说明项目财务生存能力强。</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FF0000"/>
          <w:spacing w:val="0"/>
          <w:w w:val="100"/>
          <w:kern w:val="2"/>
          <w:position w:val="0"/>
          <w:sz w:val="28"/>
          <w:szCs w:val="28"/>
          <w:lang w:val="en-US" w:eastAsia="zh-CN" w:bidi="zh-CN"/>
        </w:rPr>
      </w:pPr>
      <w:r>
        <w:rPr>
          <w:rFonts w:hint="eastAsia" w:ascii="宋体" w:hAnsi="宋体" w:eastAsia="宋体" w:cs="宋体"/>
          <w:snapToGrid/>
          <w:color w:val="000000"/>
          <w:spacing w:val="0"/>
          <w:w w:val="100"/>
          <w:kern w:val="2"/>
          <w:position w:val="0"/>
          <w:sz w:val="28"/>
          <w:szCs w:val="28"/>
          <w:lang w:val="en-US" w:eastAsia="zh-CN" w:bidi="zh-CN"/>
        </w:rPr>
        <w:t>该项目综合利息备付率4.52，综合偿债备付率1.13，说明企业具有较强的清偿能力。</w:t>
      </w:r>
    </w:p>
    <w:bookmarkStart w:id="84" w:name="_Toc13409"/>
    <w:bookmarkStart w:id="85" w:name="_Toc5533"/>
    <w:bookmarkStart w:id="86" w:name="_Toc21961"/>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rPr>
      </w:pPr>
      <w:r>
        <w:rPr>
          <w:rFonts w:hint="eastAsia" w:ascii="宋体" w:hAnsi="宋体" w:eastAsia="宋体" w:cs="宋体"/>
          <w:b/>
          <w:bCs/>
          <w:sz w:val="28"/>
          <w:szCs w:val="28"/>
        </w:rPr>
        <w:t>6.5 财务可持续性分析</w:t>
      </w:r>
      <w:bookmarkEnd w:id="84"/>
      <w:bookmarkEnd w:id="85"/>
      <w:bookmarkEnd w:id="86"/>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通过对项目从筹建到经营全过程各项评价指标的测算，项目虽然投资较大，但项目建成以后经营效益较好。项目建成后所得税后全部投资财务内部收益率为7.84%，投资回收期为11.31年（含建设期）。项目税后财务内部收益率高于行业基准收益率，各项指标都略高于国内同行业平均水平，项目在财务上是可行的，并且很强的经济效益和抗风险能力。</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综上所述，该项目符合国家的产业政策，经济效益较好，具有一定的抗风险能力，项目可行性强。</w:t>
      </w:r>
    </w:p>
    <w:p>
      <w:pPr>
        <w:rPr>
          <w:rFonts w:ascii="宋体" w:hAnsi="宋体" w:eastAsia="宋体" w:cs="宋体"/>
          <w:b/>
          <w:i w:val="false"/>
          <w:strike w:val="false"/>
          <w:color w:val="000000"/>
          <w:spacing w:val="0"/>
          <w:sz w:val="36"/>
          <w:u w:val="none"/>
        </w:rPr>
      </w:pPr>
      <w:r>
        <w:rPr>
          <w:rFonts w:ascii="宋体" w:hAnsi="宋体" w:eastAsia="宋体" w:cs="宋体"/>
          <w:b/>
          <w:i w:val="false"/>
          <w:strike w:val="false"/>
          <w:color w:val="000000"/>
          <w:spacing w:val="0"/>
          <w:sz w:val="36"/>
          <w:u w:val="none"/>
        </w:rPr>
        <w:br w:type="page"/>
      </w:r>
    </w:p>
    <w:bookmarkStart w:id="87" w:name="_Toc29809"/>
    <w:bookmarkStart w:id="88" w:name="_Toc4400"/>
    <w:bookmarkStart w:id="89" w:name="_Toc6238"/>
    <w:p>
      <w:pPr>
        <w:keepNext w:val="false"/>
        <w:keepLines w:val="false"/>
        <w:pageBreakBefore w:val="false"/>
        <w:widowControl/>
        <w:kinsoku w:val="false"/>
        <w:wordWrap/>
        <w:overflowPunct/>
        <w:topLinePunct w:val="false"/>
        <w:autoSpaceDE w:val="false"/>
        <w:autoSpaceDN w:val="false"/>
        <w:bidi w:val="false"/>
        <w:adjustRightInd/>
        <w:snapToGrid/>
        <w:spacing w:before="0" w:beforeLines="100" w:after="0" w:afterLines="100" w:line="360" w:lineRule="auto"/>
        <w:jc w:val="center"/>
        <w:textAlignment w:val="baseline"/>
        <w:outlineLvl w:val="0"/>
        <w:rPr>
          <w:rFonts w:hint="eastAsia" w:ascii="宋体" w:hAnsi="宋体" w:eastAsia="宋体" w:cs="宋体"/>
          <w:b/>
          <w:bCs/>
          <w:sz w:val="36"/>
          <w:szCs w:val="36"/>
        </w:rPr>
      </w:pPr>
      <w:r>
        <w:rPr>
          <w:rFonts w:hint="eastAsia" w:ascii="宋体" w:hAnsi="宋体" w:eastAsia="宋体" w:cs="宋体"/>
          <w:b/>
          <w:bCs/>
          <w:sz w:val="36"/>
          <w:szCs w:val="36"/>
        </w:rPr>
        <w:t>第七章 项目影响效果分析</w:t>
      </w:r>
      <w:bookmarkEnd w:id="87"/>
      <w:bookmarkEnd w:id="88"/>
      <w:bookmarkEnd w:id="89"/>
    </w:p>
    <w:bookmarkStart w:id="90" w:name="_Toc12698"/>
    <w:bookmarkStart w:id="91" w:name="_Toc18730"/>
    <w:bookmarkStart w:id="92" w:name="_Toc968"/>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rPr>
      </w:pPr>
      <w:r>
        <w:rPr>
          <w:rFonts w:hint="eastAsia" w:ascii="宋体" w:hAnsi="宋体" w:eastAsia="宋体" w:cs="宋体"/>
          <w:b/>
          <w:bCs/>
          <w:sz w:val="28"/>
          <w:szCs w:val="28"/>
        </w:rPr>
        <w:t>7.1 经济影响分析</w:t>
      </w:r>
      <w:bookmarkEnd w:id="90"/>
      <w:bookmarkEnd w:id="91"/>
      <w:bookmarkEnd w:id="92"/>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7.1.1 项目对宏观经济的影响</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的建设对宏观经济有着多方面的积极影响。从能源产业发展来看，推动了源网荷储一体化进程，促进了新能源发电、智能电网、储能等领域的技术创新与产业升级，带动上下游相关产业的协同发展，创造了大量就业机会，如新能源设备制造、安装、运维等岗位，提高了劳动力的就业水平与收入。在区域经济增长方面，项目建设期间的大规模投资直接拉动了建材、机械等行业的需求，建成后的稳定运营不仅保障了当地企业的电力供应，降低企业用电成本，提升企业竞争力，间接促进产业集聚与经济活跃度，还通过电力外送等方式增加地方财政收入，助力基础设施建设与公共服务改善，为宏观经济的可持续发展注入新动力，增强经济发展的韧性与稳定性，优化能源结构，减少对传统能源的依赖，在实现节能减排目标的同时，也为应对气候变化做出贡献，提升了经济发展的质量与效益。</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7.1.2 项目对产业经济的影响</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1、促进产业升级</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的实施推动了能源产业从传统的单一能源供应模式向清洁、高效、智能的源网荷储一体化模式转变。新能源发电技术的大规模应用促使能源生产更加绿色可持续，储能技术的引入优化了能源的时空配置，智能电网的建设提升了电力传输与分配的效率和可靠性。这种产业升级不仅发生在能源产业内部，还通过稳定可靠且成本优化的电力供应，带动了工业、制造业等其他产业的技术升级和生产模式变革，促使企业淘汰落后产能，采用更加节能环保和智能化的生产设备与工艺，提升产品附加值和市场竞争力，推动整个产业结构向高端化迈进。</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2、增强区域智能化</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建设过程中大量运用先进的信息技术、物联网技术、大数据分析和人工智能算法，实现了对能源生产、传输、存储和消费各环节的智能化监控与管理。这不仅提升了能源系统的运行效率和安全性，还为区域智能化发展提供了示范和基础支撑。例如，智能电网的建设有助于打造智慧城市的能源基础设施，为智能交通、智能建筑等其他领域的智能化发展提供数据交互和能源保障，促进区域内各产业与信息技术的深度融合，培育智能产业生态，提升区域的整体智能化水平和创新能力，使区域在数字经济时代占据发展先机。</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3、促进就业与人才培养</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从项目的规划设计、工程建设到运营维护，各个阶段都创造了丰富多样的就业岗位，涵盖能源工程、电力技术、信息技术、项目管理等多个专业领域。这不仅解决了当地部分劳动力的就业问题，还吸引了外部人才流入，为区域人才储备增添活力。同时，项目的长期运营需求促使当地教育机构和培训机构与企业紧密合作，开展针对性的人才培养计划，提升劳动力素质和技能水平，形成人才培养与产业发展的良性互动，为产业经济的持续发展提供坚实的人才保障，也为当地居民提供了更多的职业发展机会和上升通道。</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4、推动上下游产业链协同发展</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的建设带动了上下游产业链的繁荣与协同。在新能源发电领域，刺激了光伏组件、风力发电机制造等上游产业的发展，扩大了市场需求，促进企业规模扩张和技术创新；中游的能源存储设备生产、智能电网设备制造等产业也因项目的实施迎来新的发展机遇；下游的能源服务、电力销售等产业得以丰富和拓展，形成了完整且紧密的产业链条。各环节企业之间通过加强合作与技术交流，实现资源共享和优势互补，提高整个产业链的协同效率和市场竞争力，推动产业集群的形成和发展，增强区域产业经济的抗风险能力和可持续发展能力。</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5、改善营商环境</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default"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稳定可靠的能源供应是企业生产经营的重要保障，本项目的建成有效解决了县域内企业用电的稳定性和成本问题，降低了企业的运营风险和生产成本，提高了企业的生产效率和盈利能力。这对于吸引更多外部企业投资入驻具有显著的吸引力，同时也有助于本地企业扩大生产规模和进行产业升级，形成良好的产业发展氛围。此外，项目所展现的创新理念和技术应用，提升了县域的科技水平和创新形象，为县域营商环境的优化增添了新的亮点，促进了区域内产业经济的良性循环和可持续发展，使县域在区域经济竞争中脱颖而出，为经济社会的长期繁荣奠定坚实基础。</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7.1.3 项目对区域经济的影响</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1、促进资源高效利用，降低企业成本</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通过整合能源的生产、传输、储存和消费环节，实现了对各类能源资源的精细化管理与优化配置。一方面，充分挖掘太阳能、风能等清洁能源的潜力，将其转化为电能并就地消纳，减少了能源在传输过程中的损耗，提高了能源利用效率；另一方面，精准的负荷调控和储能系统的灵活运用，有效平衡了电力供需，避免了能源的浪费。对于区域内的企业而言，稳定且价格合理的电力供应降低了其用电成本，增强了企业的市场竞争力，为企业的扩大再生产和技术创新提供了有力支持，进而提升了区域产业的整体效益和资源利用效率，促进区域经济的可持续发展。</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2、推动新能源产业发展，优化能源结构</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的建设大力推动了新能源产业在区域内的蓬勃兴起。大规模的新能源发电设施建设带动了光伏、风电等相关产业的投资增长，吸引了上下游企业的集聚，形成了完整的新能源产业链条，从设备制造、安装调试到运营维护，创造了大量的经济附加值和就业岗位。同时，新能源在区域能源结构中的占比不断提高，逐步替代传统化石能源，降低了对外部能源的依赖程度，减少了环境污染，实现了能源供应的多元化和清洁化，为区域经济的绿色发展奠定了坚实基础，提升了区域经济的环境友好性和发展质量。</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3、创造就业机会，促进社会稳定</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的建设和运营过程涵盖了众多领域和专业，为当地居民提供了丰富多样的就业机会。从项目前期的规划设计、工程建设中的建筑施工、设备安装，到后期的运营管理、维护检修以及能源服务等环节，都需要大量不同技能层次的劳动力，包括技术工人、工程师、管理人员等。这些就业岗位的创造不仅缓解了当地的就业压力，增加了居民的收入水平，而且提升了劳动力素质和就业稳定性，减少了社会不稳定因素，为区域社会的和谐稳定发展做出了重要贡献，为经济发展营造了良好的社会环境。</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4、带动整体经济发展</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作为区域经济发展的新引擎，通过上述各个方面的积极作用，产生了显著的乘数效应，带动了区域整体经济的繁荣。新能源产业的崛起促进了产业结构的优化升级，吸引了更多的外部投资和人才流入，提升了区域的产业竞争力和创新能力；企业成本的降低增强了企业的盈利能力和发展活力，促使企业加大研发投入和市场拓展力度，进一步拉动了上下游产业的协同发展；就业机会的增加和居民收入的提高带动了消费市场的繁荣，促进了服务业等相关产业的发展，形成了经济发展的良性循环。项目的建设全方位地推动了区域经济在规模扩张、结构优化、质量提升等方面取得显著成效，为区域经济的长期稳定增长提供了坚实保障和强大动力。</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7.1.4 项目建设的经济合理性分析</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1、项目实施可以产生较好投资回报</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实施具备产生较好投资回报的潜力。一方面，随着能源市场的发展以及对清洁能源需求的持续增长，项目所产生的电力在满足园区企业需求的同时，可通过合理的电力销售策略，如参与电力市场化交易，利用峰谷电价差等方式，实现稳定且可观的收益。另一方面，项目的建设和运营将带动相关产业的发展，例如新能源设备制造、安装、维护以及储能技术研发等领域，这些产业的协同发展不仅能够降低项目的建设与运营成本，还能通过产业附加值的提升进一步增加项目的整体收益。此外，项目的实施过程中，通过优化资源配置和提高能源利用效率，能够有效降低长期运营成本，从而保障项目在经济上的可持续性和盈利能力，为投资者带来满意的回报，吸引更多的资金流入该领域，促进项目的持续优化和发展。</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2、项目实施可以产生良好社会效益</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default"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首先，项目建设将创造大量直接和间接的就业机会，涵盖工程建设、技术研发、运营管理、能源服务等多个环节，为当地居民提供多样化的就业岗位，提高居民收入水平，缓解就业压力，促进社会稳定与和谐发展。其次，稳定可靠的能源供应将有力支持园区内中小企业的发展，降低企业的用电成本，提升企业的市场竞争力和生产效率，进而带动整个园区产业的繁荣，对地方经济的发展起到积极的推动作用。再者，项目作为清洁能源的示范工程，将提升公众对可再生能源的认知和接受度，促进绿色环保理念的传播，推动社会形成节能减排、绿色发展的良好氛围，具有显著的社会效益和公共价值。</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3、项目建设推动获嘉县可持续发展</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pPr>
      <w:r>
        <w:rPr>
          <w:rFonts w:hint="eastAsia" w:ascii="宋体" w:hAnsi="宋体" w:eastAsia="宋体" w:cs="宋体"/>
          <w:snapToGrid/>
          <w:color w:val="auto"/>
          <w:spacing w:val="0"/>
          <w:w w:val="100"/>
          <w:kern w:val="2"/>
          <w:position w:val="0"/>
          <w:sz w:val="28"/>
          <w:szCs w:val="28"/>
          <w:lang w:val="en-US" w:eastAsia="zh-CN" w:bidi="zh-CN"/>
        </w:rPr>
        <w:t>在能源领域，项目的源网荷储一体化模式将促进当地能源结构的优化升级，减少对传统化石能源的依赖，提高能源供应的稳定性和安全性，降低能源供应过程中的环境风险，为获嘉县的经济发展提供清洁、可持续的能源保障。在产业发展方面，项目将带动新能源及相关产业在当地的集聚和发展，形成完整的产业链条，推动产业结构的调整和升级，培育新的经济增长点，增强获嘉县经济发展的内生动力和抗风险能力。同时，项目的建设和运营过程中所积累的技术经验和人才资源，也将为当地其他产业的发展提供技术支撑和人才储备，促进获嘉县经济、社会与环境的协调可持续发展，为地区的长期繁荣奠定坚实基础。</w:t>
      </w:r>
    </w:p>
    <w:bookmarkStart w:id="93" w:name="_Toc13853"/>
    <w:bookmarkStart w:id="94" w:name="_Toc14234"/>
    <w:bookmarkStart w:id="95" w:name="_Toc3676"/>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rPr>
      </w:pPr>
      <w:r>
        <w:rPr>
          <w:rFonts w:hint="eastAsia" w:ascii="宋体" w:hAnsi="宋体" w:eastAsia="宋体" w:cs="宋体"/>
          <w:b/>
          <w:bCs/>
          <w:sz w:val="28"/>
          <w:szCs w:val="28"/>
        </w:rPr>
        <w:t>7.2 社会影响分析</w:t>
      </w:r>
      <w:bookmarkEnd w:id="93"/>
      <w:bookmarkEnd w:id="94"/>
      <w:bookmarkEnd w:id="95"/>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7.2.1 社会影响因素</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1、相关利益者</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建设直接影响到众多利益相关者群体。对于园区内的中小企业而言，项目的实施将改变其能源供应模式，稳定且价格合理的绿色电力供应有助于降低企业生产成本，提高生产效率和产品竞争力，从而直接影响企业的经济效益和发展前景，增强企业在市场中的生存能力和扩张动力。而对于当地居民来说，项目可能会带来生活环境的改变，如能源基础设施的建设可能会影响周边的居住景观，但同时也期望从项目的发展中获得更好的公共服务和经济福利，例如就业机会的增加和生活用电的稳定保障等。此外，政府作为监管者和推动者，关注项目对地方经济发展、税收贡献以及能源结构优化等方面的作用，希望通过项目实现区域的可持续发展和公共利益的最大化。</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2、就业机会</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建设和运营过程将创造大量的就业岗位，涵盖多个领域和不同技能层次。在项目建设阶段，需要大量的建筑工人、设备安装人员和工程技术人员，为当地劳动力市场提供了短期的就业机会，尤其是对于具有一定建筑施工技能的人员来说，能够缓解就业压力并增加收入来源。在长期运营中，能源生产、管理、维护以及相关服务领域将持续吸纳专业技术人才，如电力工程师、储能技术专家、能源管理人员等，这不仅为当地培养和留住了高端技术人才，还为高校相关专业毕业生提供了就业方向，促进了人才的合理流动和就业结构的优化，提升了社会整体的就业质量和人力资源素质。</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3、社会责任</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肩负着重要的社会责任。从环境保护角度来看，作为源网荷储一体化项目，其推广清洁能源的应用，减少了对传统化石能源的依赖，降低了碳排放，有助于改善当地空气质量和生态环境，履行了对环境保护的责任，符合社会对可持续发展的追求。同时，项目在建设和运营过程中应注重安全生产，保障员工的生命健康权益，积极参与社区建设和公益事业，如为当地社区提供能源知识普及教育、支持基础设施建设等，通过这些举措回馈社会，提升企业形象和社会声誉，促进项目与社会的和谐共生发展，实现经济、社会和环境效益的有机统一。</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7.2.2 减缓负面社会影响的措施</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1、加强环境监测和治理措施</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监管加强：引进先进技术和管理手段进行监管；建立环境数据云平台和大数据监测系统，实现精准调度、提高监管能力和生态预警周期。</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加强安全管理：严格执行安全生产制度、建立健全的安全监管审批、落实风险研判、安全现场考核等措施，确保安全生产。</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社会责任：坚持走可持续发展道路，重视员工安全健康、文化教育事业和社区发展，注重硬件、软件和人才等资源的持续利用与培养。</w:t>
      </w:r>
    </w:p>
    <w:bookmarkStart w:id="96" w:name="_Toc27230"/>
    <w:bookmarkStart w:id="97" w:name="_Toc20797"/>
    <w:bookmarkStart w:id="98" w:name="_Toc6121"/>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rPr>
      </w:pPr>
      <w:r>
        <w:rPr>
          <w:rFonts w:hint="eastAsia" w:ascii="宋体" w:hAnsi="宋体" w:eastAsia="宋体" w:cs="宋体"/>
          <w:b/>
          <w:bCs/>
          <w:sz w:val="28"/>
          <w:szCs w:val="28"/>
        </w:rPr>
        <w:t>7.3 生态环境影响分析</w:t>
      </w:r>
      <w:bookmarkEnd w:id="96"/>
      <w:bookmarkEnd w:id="97"/>
      <w:bookmarkEnd w:id="98"/>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7.3.1 建</w:t>
      </w:r>
      <w:r>
        <w:rPr>
          <w:rFonts w:hint="eastAsia" w:ascii="宋体" w:hAnsi="宋体" w:eastAsia="宋体" w:cs="宋体"/>
          <w:b/>
          <w:bCs/>
          <w:sz w:val="28"/>
          <w:szCs w:val="28"/>
          <w:lang w:val="en-US" w:eastAsia="zh-CN"/>
        </w:rPr>
        <w:t>设</w:t>
      </w:r>
      <w:r>
        <w:rPr>
          <w:rFonts w:hint="eastAsia" w:ascii="宋体" w:hAnsi="宋体" w:eastAsia="宋体" w:cs="宋体"/>
          <w:b/>
          <w:bCs/>
          <w:sz w:val="28"/>
          <w:szCs w:val="28"/>
        </w:rPr>
        <w:t>项目所在地的生态环境现状</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 xml:space="preserve"> 本项目通过引入光伏发电及储能服务，积极响应可再生能源的推广，有效减少对传统化石能源的依赖，从而降低温室气体排放和空气污染。</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7.3.2 项目在污染物排放、地环境敏感区等方面的影响</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360" w:lineRule="auto"/>
        <w:jc w:val="both"/>
        <w:textAlignment w:val="baseline"/>
        <w:rPr/>
      </w:pPr>
      <w:r>
        <w:rPr>
          <w:rFonts w:ascii="宋体" w:hAnsi="宋体" w:eastAsia="宋体" w:cs="宋体"/>
          <w:b/>
          <w:i w:val="false"/>
          <w:strike w:val="false"/>
          <w:color w:val="000000"/>
          <w:spacing w:val="0"/>
          <w:sz w:val="28"/>
          <w:u w:val="none"/>
          <w:vertAlign w:val="baseline"/>
        </w:rPr>
        <w:t>7.3.2.1 环境保护目标和具体质量标准</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遵循可持续发展战略思想，切实保障资源合理开发和利用，保护生态环境，改善周围环境质量，形成生态良性循环。</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环境质量标准：</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1、项目范围内大气环境质量须达到《环境空气质量标准》（GB3095-2012）的二级标准；</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2、根据《声环境质量标准》（GB3096-2008），项目区噪声平均等效声级昼间值≤65dB；夜间值≤55dB；</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3、《声环境质量标准》（GB3096-2008）；</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4、《生活饮用水卫生规范》(GB5749-2006)；</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5、《地下水质量标准》（GB/T14848-93）；</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6、《大气污染物综合排放标准》（GB16297-1996）；</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7、《污水排入城镇下水道水质》（CJ343-2010）；</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8、《建筑施工场界环境噪声排放标准》（GB12523-2011）；</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9、《一般工业固体废物贮存、处置场污染控制标准》（GB18599-2001）及其修改单。</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360" w:lineRule="auto"/>
        <w:ind w:right="0" w:rightChars="0"/>
        <w:jc w:val="both"/>
        <w:textAlignment w:val="baseline"/>
        <w:rPr/>
      </w:pPr>
      <w:r>
        <w:rPr>
          <w:rFonts w:ascii="宋体" w:hAnsi="宋体" w:eastAsia="宋体" w:cs="宋体"/>
          <w:b/>
          <w:i w:val="false"/>
          <w:strike w:val="false"/>
          <w:color w:val="000000"/>
          <w:spacing w:val="0"/>
          <w:sz w:val="28"/>
          <w:u w:val="none"/>
        </w:rPr>
        <w:t>7.3.2.2</w:t>
      </w:r>
      <w:r>
        <w:rPr>
          <w:rFonts w:hint="eastAsia" w:ascii="宋体" w:hAnsi="宋体" w:eastAsia="宋体" w:cs="宋体"/>
          <w:b/>
          <w:i w:val="false"/>
          <w:strike w:val="false"/>
          <w:color w:val="000000"/>
          <w:spacing w:val="0"/>
          <w:sz w:val="28"/>
          <w:u w:val="none"/>
          <w:lang w:val="en-US" w:eastAsia="zh-CN"/>
        </w:rPr>
        <w:t xml:space="preserve"> </w:t>
      </w:r>
      <w:r>
        <w:rPr>
          <w:rFonts w:ascii="宋体" w:hAnsi="宋体" w:eastAsia="宋体" w:cs="宋体"/>
          <w:b/>
          <w:i w:val="false"/>
          <w:strike w:val="false"/>
          <w:color w:val="000000"/>
          <w:spacing w:val="0"/>
          <w:sz w:val="28"/>
          <w:u w:val="none"/>
        </w:rPr>
        <w:t>建设期环境影响及治理措施</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的建设，主要是施工期间对环境的影响，通过采取有效的环保治理措施，对周围环境的影响可降低到最低程度。项目实施后，可取得工程建设和环境整治兼顾的效果，既促进区域社会经济发展，又促进生态环境的改善。</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本项目施工期内，应妥善处理工程建设对周边环境及秩序的影响。</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1、对大气环境的影响</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施工现场运输建筑材料的临时施工道路应经常洒水，运送砂石料的运输车辆，用帆布等遮盖，以防物料飞扬，沿途撒漏。混凝土搅拌作业尽量在固定地点封闭进行。施工期间车辆排放的废气会对周围环境产生一定的影响，车辆排出的CO、NOX和HC会使沿线空气质量下降，造成轻度污染，对当地环境有轻微影响。施工单位应使用符合环保标准的施工车辆设备，减少废气排放。</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2、对声环境的影响</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工程施工中将使用的施工机械包括大型挖土机、空压机、混凝土搅拌机等高噪声机械，在土方、基础结构等施工阶段各类机械单独或共同作业时产生的噪声与振动影响不容忽视。应采取以下措施：</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（1）施工场地布局合理，相对集中固定施工机械并远离环境敏感点。</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（2）对噪声震动固定设备采用固定或移动式隔振降噪处理。</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（3）避免现场混凝土搅拌作业，采用新技术缩短连续浇灌作业时间。</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（4）尽可能避免高噪声震动设备同时作业。</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（5）保障施工场地交通畅通，减缓运输作业引起的噪声影响。</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（6）施工现场严格管理，加强环境监测，严格执行环境管理规定。</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加强宣传特别是对现场周边居民，使其充分理解建设工程的重要性，做好相应的环境补偿工作。</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3、固体废弃物影响</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施工期固体废弃物主要来自施工过程中开挖的土方和废弃的建筑材料，经集中收集后全部运至城市垃圾处理场妥善堆放，以减少对环境的影响。</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4、水土保护的影响</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在施工中对地表及植被的扰动较大，若土质疏松，在降雨集中季节受雨水的冲刷作用，不可避免地造成一定程度的水土流失，可能会造成局部暂时的沟渠堵塞。因此，需对这些部位注意防范。本工程应注意选择集中取土、弃土位置，尽量做到取土、弃土与城市其他建设相结合。对于道路两侧因施工破坏的其它用地，施工完成后应尽可能的给予人工恢复。</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360" w:lineRule="auto"/>
        <w:ind w:right="0" w:rightChars="0" w:firstLine="0" w:firstLineChars="0"/>
        <w:jc w:val="both"/>
        <w:textAlignment w:val="baseline"/>
        <w:rPr/>
      </w:pPr>
      <w:r>
        <w:rPr>
          <w:rFonts w:ascii="宋体" w:hAnsi="宋体" w:eastAsia="宋体" w:cs="宋体"/>
          <w:b/>
          <w:i w:val="false"/>
          <w:strike w:val="false"/>
          <w:color w:val="000000"/>
          <w:spacing w:val="0"/>
          <w:sz w:val="28"/>
          <w:u w:val="none"/>
        </w:rPr>
        <w:t>7.3.2.3 地质灾害影响分析</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该项目所处地段，地势平坦，自然条件较好。交通运输十分便利，拟建项目为管道设备，项目选址所在地的地质情况良好，不存在灾害问题，项目的建设和运营不会诱发地质灾害。</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360" w:lineRule="auto"/>
        <w:ind w:right="0" w:rightChars="0"/>
        <w:jc w:val="both"/>
        <w:textAlignment w:val="baseline"/>
        <w:rPr/>
      </w:pPr>
      <w:r>
        <w:rPr>
          <w:rFonts w:ascii="宋体" w:hAnsi="宋体" w:eastAsia="宋体" w:cs="宋体"/>
          <w:b/>
          <w:i w:val="false"/>
          <w:strike w:val="false"/>
          <w:color w:val="000000"/>
          <w:spacing w:val="0"/>
          <w:sz w:val="28"/>
          <w:u w:val="none"/>
        </w:rPr>
        <w:t>7.3.2.4</w:t>
      </w:r>
      <w:r>
        <w:rPr>
          <w:rFonts w:hint="eastAsia" w:ascii="宋体" w:hAnsi="宋体" w:eastAsia="宋体" w:cs="宋体"/>
          <w:b/>
          <w:i w:val="false"/>
          <w:strike w:val="false"/>
          <w:color w:val="000000"/>
          <w:spacing w:val="0"/>
          <w:sz w:val="28"/>
          <w:u w:val="none"/>
          <w:lang w:val="en-US" w:eastAsia="zh-CN"/>
        </w:rPr>
        <w:t xml:space="preserve"> </w:t>
      </w:r>
      <w:r>
        <w:rPr>
          <w:rFonts w:ascii="宋体" w:hAnsi="宋体" w:eastAsia="宋体" w:cs="宋体"/>
          <w:b/>
          <w:i w:val="false"/>
          <w:strike w:val="false"/>
          <w:color w:val="000000"/>
          <w:spacing w:val="0"/>
          <w:sz w:val="28"/>
          <w:u w:val="none"/>
        </w:rPr>
        <w:t>特殊环境影响</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项目周围没有历史文化遗产、自然遗产、风景名胜和自然景观等，无特殊环境影响。</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360" w:lineRule="auto"/>
        <w:ind w:right="0" w:rightChars="0"/>
        <w:jc w:val="both"/>
        <w:textAlignment w:val="baseline"/>
        <w:rPr/>
      </w:pPr>
      <w:r>
        <w:rPr>
          <w:rFonts w:ascii="宋体" w:hAnsi="宋体" w:eastAsia="宋体" w:cs="宋体"/>
          <w:b/>
          <w:i w:val="false"/>
          <w:strike w:val="false"/>
          <w:color w:val="000000"/>
          <w:spacing w:val="0"/>
          <w:sz w:val="28"/>
          <w:u w:val="none"/>
        </w:rPr>
        <w:t>7.3.2.5</w:t>
      </w:r>
      <w:r>
        <w:rPr>
          <w:rFonts w:hint="eastAsia" w:ascii="宋体" w:hAnsi="宋体" w:eastAsia="宋体" w:cs="宋体"/>
          <w:b/>
          <w:i w:val="false"/>
          <w:strike w:val="false"/>
          <w:color w:val="000000"/>
          <w:spacing w:val="0"/>
          <w:sz w:val="28"/>
          <w:u w:val="none"/>
          <w:lang w:val="en-US" w:eastAsia="zh-CN"/>
        </w:rPr>
        <w:t xml:space="preserve"> </w:t>
      </w:r>
      <w:r>
        <w:rPr>
          <w:rFonts w:ascii="宋体" w:hAnsi="宋体" w:eastAsia="宋体" w:cs="宋体"/>
          <w:b/>
          <w:i w:val="false"/>
          <w:strike w:val="false"/>
          <w:color w:val="000000"/>
          <w:spacing w:val="0"/>
          <w:sz w:val="28"/>
          <w:u w:val="none"/>
        </w:rPr>
        <w:t>环境影响分析结论</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在建设期和运营期通过采取适当的污染防治措施对污染物的进行妥当处理，可以做到废气、废水、噪声及固体废弃物达标排放；并严格执行环保设施与主体工程同时设计、同时施工、同时投入运行的“三同时”制度，将对环境的影响降到最小。</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因此，从环境保护的角度进行分析，本项目的建设是可行的。</w:t>
      </w:r>
    </w:p>
    <w:bookmarkStart w:id="99" w:name="_Toc21575"/>
    <w:bookmarkStart w:id="100" w:name="_Toc12272"/>
    <w:bookmarkStart w:id="101" w:name="_Toc4154"/>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rPr>
      </w:pPr>
      <w:r>
        <w:rPr>
          <w:rFonts w:hint="eastAsia" w:ascii="宋体" w:hAnsi="宋体" w:eastAsia="宋体" w:cs="宋体"/>
          <w:b/>
          <w:bCs/>
          <w:sz w:val="28"/>
          <w:szCs w:val="28"/>
        </w:rPr>
        <w:t>7.4 资源和能源利用效果分析</w:t>
      </w:r>
      <w:bookmarkEnd w:id="99"/>
      <w:bookmarkEnd w:id="100"/>
      <w:bookmarkEnd w:id="101"/>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7.4.1 项目所需消耗的资源品种、数量、来源情况</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本项目非重要资源的项目，项目建设完成后，项目运营方式为中光伏电站发电、储能调峰及源网荷储等，项目所消耗能源主要为电力。</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7.4.2 资源综合利用方案和资源节约措施</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节能是国家发展经济的一项长远战略方针。节能是指加强用能管理，采用技术上可行、经济上合理以及环境社会可以承受的措施，减少从能源生产到消费各个环节中的损失和浪费，更加有效、合理地利用能源，提高能源利用效率和经济效益，以保护环境，保障国民经济和社会的发展，满足人民生活需要。根据项目建设的不同阶段，采取相应的措施进行节能。</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7.4.2.1 电气节能</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节能设备的选用及节电控制措施：变压器选用过载能力强、低损耗、低噪音、体积小、维护方便的SCB13干式变压器，并选择合适的装机容量，减少设备本身的能源消耗；对于空调机组等季节性负荷设专用变压器供电；电梯、水泵、风机等设备均采用节能型设备并采取合适的节电控制方案；功率在200kW及以上的电动机采用高压电动机，对大容量交流异步电动机采用恒频变压软启动器启动，改善启动特性；多台电梯集中排列时应具有按规定程序集中调度和控制的群控功能；办公照明采用LED节能灯盘，走道、楼梯间照明及应急照明均采用LED灯光源，办公区域走道、卫生间、楼梯间照明采用人体感应节能自熄开关。</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（2）功率因数的提高及谐波治理：室内外照明灯具均采用高功率因数的电子镇流器；变电所内采用低压集中无功动态补偿装置，补偿后的功率因数大于0.93；变电所设谐波保护装置以抑制系统谐波,提高供电质量。</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照度及照明功率密度值的确定选择合理的照度标准，选用合适的光源及高效节能灯具，采用合理的灯具安装方式及照明配电系统，并根据建筑的使用条件和天然采光状况采用合理有效的照明控制装置来实施。</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（4）本工程设置的变配电所均靠近每个区域的用电负荷中心，缩短线缆、母线的长度。</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（5）多项分级计量：本工程供配电系统采用能源管理系统，对各类型负荷均能实现电能的计量、统计、分析,实现本工程变配电设备自动化监测和管理。</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（6）配电线路的选择：通过计算合理的选择导线的截面及线路敷设方案，降低配电线路的损耗；采用单芯电缆组成的供配电回路时，电缆呈品字形敷设以降低线路阻抗。</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本工程在设计中根据地理环境和应用条件，充分考虑自然光、太阳能等新型能源的应用。</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7.4.2.2 节水措施</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1、供水系统中，尽量使用节能型阀门、水龙头等产品，做到有效合理用水，减少浪费；</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2、经常检查供水系统是否正常，及时堵漏，以杜绝水从地下白白流失；</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3、制定用水、节水相关制度，树立自觉节水、节水人人有责的意识；</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4、提高用水回收率和重复利用率；</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5、卫生间采用节水型设备和器具，如采用感应式阀门，冲水采用自闭式冲水阀等，降低水资源的无效消耗，达到节约用水的目的；</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6、回收雨水作为浇洒绿地用水。</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7.4.2.3 可再生能源利用</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在项目设计和实施过程中，项目单位根据实际情况考虑增加可再生能源利用措施。</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1、太阳能热水系统</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从建筑节能角度，利用太阳能不仅可行，而且节能效果明显，这一点从以往的研究和实践中都得到了充分证明，建议生活服务用房采用太阳能热水系统。</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太阳能热水系统与建筑节能结合，就是把太阳能热水系统产品作为建筑构件安装，使其与建筑有机结合。同时要有相关的设计、安装、施工与验收标准，从技术标准的高度解决太阳能热水系统与建筑结合问题。这是太阳能热水系统在建筑领域得到广泛应用、促进太阳能产业快速发展的关键。</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2、太阳能路灯</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此外，建议项目可考虑室外太阳能光伏电源用于户外路灯、草坪灯的节能项目，与传统路灯相比，太阳能路灯在外观上并没有太多不同，只是每根灯杆上方增加了两块太阳能板，这两块太阳能吸收板，是太阳能路灯的关键所在。太阳能灯白天靠日光发电蓄电，晚上光线暗到一定程度时根据自动感应器决定开灯时间，照明时间为6至8小时，在阴天的情况下，太阳能灯可以连续工作5至6天。</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3、雨水收集处理技术</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为节约用水，建议项目单位考虑对雨水进行收集利用。对雨水进行收集、储存、水质净化，然后回用于绿化、道路广场浇洒、景观用水等。</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雨水回用系统，就是将雨水收集后，按照不同的需求对收集的雨水进行处理后达到符合设计使用标准的系统。是由截污挂篮装置、弃流过滤装置、蓄水系统、净化系统组成。</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可设置两套雨水管道，一套为雨水收集回用管道，一套为雨水收集排放管道。屋面雨水经雨水管道收集后，排向室外雨水收集回用管道，经室外初期雨水弃流井完成初期雨水弃流后，进入雨水收集模块池储存并回用。雨水收集回用系统弃流的初期雨水、超过雨水收集系统能力的溢流雨水均由室外雨水收集排放管道收集；雨水收集排放管道收集的雨水，最终排入市政雨水管道。</w:t>
      </w:r>
    </w:p>
    <w:bookmarkStart w:id="102" w:name="_Toc19211"/>
    <w:bookmarkStart w:id="103" w:name="_Toc28750"/>
    <w:bookmarkStart w:id="104" w:name="_Toc23202"/>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rPr>
      </w:pPr>
      <w:r>
        <w:rPr>
          <w:rFonts w:hint="eastAsia" w:ascii="宋体" w:hAnsi="宋体" w:eastAsia="宋体" w:cs="宋体"/>
          <w:b/>
          <w:bCs/>
          <w:sz w:val="28"/>
          <w:szCs w:val="28"/>
        </w:rPr>
        <w:t>7.5 碳达峰碳中和分析</w:t>
      </w:r>
      <w:bookmarkEnd w:id="102"/>
      <w:bookmarkEnd w:id="103"/>
      <w:bookmarkEnd w:id="104"/>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的建设与碳达峰碳中和目标紧密相连，具有重要的战略意义和积极影响。在建设过程中，通过大力发展源网荷储一体化系统，优先利用太阳能、风能等清洁能源进行发电，从能源生产源头减少碳排放。智能电网的建设优化了电力传输与分配效率，降低了电网损耗，进一步减少了间接碳排放。储能系统的应用有效平抑了新能源发电的间歇性波动，增强了电力供应的稳定性和可靠性，提高了清洁能源在能源消费结构中的占比，有助于减少对传统化石能源的依赖，从而降低碳排放总量。项目建成后的长期运营，将持续为周边地区提供低碳甚至零碳的电力供应，推动工业、商业及居民生活等领域的能源消费向绿色低碳转型，为区域能源结构的优化升级和碳达峰碳中和目标的实现提供有力支撑，在应对气候变化、推动可持续发展方面发挥关键作用，具有显著的环境效益和社会效益，是迈向绿色低碳未来的重要实践。</w:t>
      </w:r>
    </w:p>
    <w:p>
      <w:pPr>
        <w:rPr>
          <w:rFonts w:ascii="宋体" w:hAnsi="宋体" w:eastAsia="宋体" w:cs="宋体"/>
          <w:b/>
          <w:i w:val="false"/>
          <w:strike w:val="false"/>
          <w:color w:val="000000"/>
          <w:spacing w:val="0"/>
          <w:sz w:val="36"/>
          <w:u w:val="none"/>
          <w:vertAlign w:val="baseline"/>
        </w:rPr>
      </w:pPr>
      <w:r>
        <w:rPr>
          <w:rFonts w:ascii="宋体" w:hAnsi="宋体" w:eastAsia="宋体" w:cs="宋体"/>
          <w:b/>
          <w:i w:val="false"/>
          <w:strike w:val="false"/>
          <w:color w:val="000000"/>
          <w:spacing w:val="0"/>
          <w:sz w:val="36"/>
          <w:u w:val="none"/>
          <w:vertAlign w:val="baseline"/>
        </w:rPr>
        <w:br w:type="page"/>
      </w:r>
    </w:p>
    <w:bookmarkStart w:id="105" w:name="_Toc5060"/>
    <w:bookmarkStart w:id="106" w:name="_Toc23354"/>
    <w:bookmarkStart w:id="107" w:name="_Toc18232"/>
    <w:p>
      <w:pPr>
        <w:keepNext w:val="false"/>
        <w:keepLines w:val="false"/>
        <w:pageBreakBefore w:val="false"/>
        <w:widowControl/>
        <w:kinsoku w:val="false"/>
        <w:wordWrap/>
        <w:overflowPunct/>
        <w:topLinePunct w:val="false"/>
        <w:autoSpaceDE w:val="false"/>
        <w:autoSpaceDN w:val="false"/>
        <w:bidi w:val="false"/>
        <w:adjustRightInd/>
        <w:snapToGrid/>
        <w:spacing w:before="0" w:beforeLines="100" w:after="0" w:afterLines="100" w:line="360" w:lineRule="auto"/>
        <w:jc w:val="center"/>
        <w:textAlignment w:val="baseline"/>
        <w:outlineLvl w:val="0"/>
        <w:rPr>
          <w:rFonts w:hint="eastAsia" w:ascii="宋体" w:hAnsi="宋体" w:eastAsia="宋体" w:cs="宋体"/>
          <w:b/>
          <w:bCs/>
          <w:sz w:val="36"/>
          <w:szCs w:val="36"/>
        </w:rPr>
      </w:pPr>
      <w:r>
        <w:rPr>
          <w:rFonts w:hint="eastAsia" w:ascii="宋体" w:hAnsi="宋体" w:eastAsia="宋体" w:cs="宋体"/>
          <w:b/>
          <w:bCs/>
          <w:sz w:val="36"/>
          <w:szCs w:val="36"/>
        </w:rPr>
        <w:t>第八章 项目风险管控方案</w:t>
      </w:r>
      <w:bookmarkEnd w:id="105"/>
      <w:bookmarkEnd w:id="106"/>
      <w:bookmarkEnd w:id="107"/>
    </w:p>
    <w:bookmarkStart w:id="108" w:name="_Toc17665"/>
    <w:bookmarkStart w:id="109" w:name="_Toc19940"/>
    <w:bookmarkStart w:id="110" w:name="_Toc16035"/>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rPr>
      </w:pPr>
      <w:r>
        <w:rPr>
          <w:rFonts w:hint="eastAsia" w:ascii="宋体" w:hAnsi="宋体" w:eastAsia="宋体" w:cs="宋体"/>
          <w:b/>
          <w:bCs/>
          <w:sz w:val="28"/>
          <w:szCs w:val="28"/>
        </w:rPr>
        <w:t>8.1 风险识别与评价</w:t>
      </w:r>
      <w:bookmarkEnd w:id="108"/>
      <w:bookmarkEnd w:id="109"/>
      <w:bookmarkEnd w:id="110"/>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项目风险贯穿于项目建设和运营的全过程。本项目在建设、实施以及运营阶段可能主要存在以下风险：</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1、市场风险</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首先，电力市场价格波动会对项目收益产生影响，电力价格受能源供需关系、政策调整等因素影响，若价格下跌可能导致项目收入减少。其次，电力需求存在不确定性，经济发展状况、产业结构调整、气候变化等都会使电力需求发生变化，若需求低于预期，会影响项目的能源销售和收益。再者，市场竞争日益激烈，随着源网荷储一体化项目的发展，越来越多的企业参与其中，可能会在能源供应、客户资源等方面形成竞争，若项目竞争力不足，可能会失去市场份额。另外，储能设备成本和技术的变化也会带来风险，成本上升会增加项目投资，而新技术的出现可能使现有储能技术过时，影响项目的长期效益。</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2、融资风险</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投资金额较大，为了确保项目建设资金按时、足额到位；建设单位应做好详细的预算，如果项目资金不能及时到位，将会给项目的顺利进行带来一定程度的风险，同时更需要拓展直接融资渠道，大力发展风险投资，建立适合建设单位融资的资本市场体系。</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3、项目策划及管理风险</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策划的风险是指在项目开发阶段的环境调查和分析、项目定义和论证、组织、管理、合同、经济、技术等策划的过程中，在项目实施阶段的环境调查和分析，项目目标分析和再论证，项目实施的组织、管理、合同、经济和技术策划过程中，由于项目经营人才技术程度低而带来的风险。项目管理风险是指项目在实施和使用的过程中因管理不善而导致项目失败的可能性。主要包括管理方法落后，管理人员综合素质不高以及决策失误等诸多因素可能增加的管理风险。</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4、政策风险</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随着能源领域的快速发展和国家战略的动态调整，相关政策法规存在变动的可能性。例如，补贴政策的退坡或取消可能会影响项目的收益预期，因为项目前期的投资决策或许部分基于现行补贴机制进行规划。而在行业标准和规范方面，若未来出台更为严格的准入门槛和技术要求，项目可能需要追加投资进行设备升级和技术改造，以满足新的政策规定，否则可能面临限产甚至停产的风险，从而对项目的持续稳定运营构成挑战。</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5、技术风险</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本项目主要为光伏发电、储能调峰及源网荷储，项目涉及的技术风险较小。</w:t>
      </w:r>
    </w:p>
    <w:bookmarkStart w:id="111" w:name="_Toc17477"/>
    <w:bookmarkStart w:id="112" w:name="_Toc31594"/>
    <w:bookmarkStart w:id="113" w:name="_Toc19497"/>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rPr>
      </w:pPr>
      <w:r>
        <w:rPr>
          <w:rFonts w:hint="eastAsia" w:ascii="宋体" w:hAnsi="宋体" w:eastAsia="宋体" w:cs="宋体"/>
          <w:b/>
          <w:bCs/>
          <w:sz w:val="28"/>
          <w:szCs w:val="28"/>
        </w:rPr>
        <w:t>8.2 风险评估</w:t>
      </w:r>
      <w:bookmarkEnd w:id="111"/>
      <w:bookmarkEnd w:id="112"/>
      <w:bookmarkEnd w:id="113"/>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通过分析，本项目的风险的主要因素是市场因素和资金因素及管理风险变化因素等构成。</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由于本项目得到当地政府以及广大群众和相关部门的支持，关于资金、技术、工程方面的风险，均已在项目前期得到了相当的重视，通过政府各部门的有力协调源网荷储一体化等合理措施的制定与实施，可以将这些风险控制在可控范围内，对项目的实施影响程度较小。</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为确保项目顺利实施，建议项目的建设单位及相关部门应高度重视项目的具体操作，一开始就应该建立风险管理机制，确定相关的责任人，协调和监督项目在各阶段的运行情况，协助项目管理者制定各项管理办法，搜集信息，及时反馈，并编制和不断更新各项风险应急预案，在风险出现之前及时采取措施，有效规避风险，保证项目顺利实施。</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jc w:val="center"/>
        <w:textAlignment w:val="baseline"/>
        <w:outlineLvl w:val="9"/>
        <w:rPr>
          <w:rFonts w:hint="eastAsia" w:ascii="宋体" w:hAnsi="宋体" w:eastAsia="宋体" w:cs="宋体"/>
          <w:b/>
          <w:bCs/>
          <w:sz w:val="28"/>
          <w:szCs w:val="28"/>
        </w:rPr>
      </w:pPr>
      <w:r>
        <w:rPr>
          <w:rFonts w:hint="eastAsia" w:ascii="宋体" w:hAnsi="宋体" w:eastAsia="宋体" w:cs="宋体"/>
          <w:b/>
          <w:bCs/>
          <w:sz w:val="28"/>
          <w:szCs w:val="28"/>
        </w:rPr>
        <w:t>表8-1风险因素分析</w:t>
      </w:r>
    </w:p>
    <w:tbl>
      <w:tblPr>
        <w:tblStyle w:val="0000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00"/>
        <w:gridCol w:w="2445"/>
        <w:gridCol w:w="2850"/>
      </w:tblGrid>
      <w:tr>
        <w:trPr>
          <w:trHeight w:val="567" w:hRule="atLeast"/>
        </w:trPr>
        <w:tc>
          <w:tcPr>
            <w:tcW w:w="3000"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pPr>
            <w:r>
              <w:rPr>
                <w:rFonts w:ascii="宋体" w:hAnsi="宋体" w:eastAsia="宋体" w:cs="宋体"/>
                <w:b/>
                <w:i w:val="false"/>
                <w:strike w:val="false"/>
                <w:color w:val="000000"/>
                <w:spacing w:val="0"/>
                <w:sz w:val="21"/>
                <w:u w:val="none"/>
              </w:rPr>
              <w:t>风险因素名称</w:t>
            </w:r>
          </w:p>
        </w:tc>
        <w:tc>
          <w:tcPr>
            <w:tcW w:w="2445"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pPr>
            <w:r>
              <w:rPr>
                <w:rFonts w:ascii="宋体" w:hAnsi="宋体" w:eastAsia="宋体" w:cs="宋体"/>
                <w:b/>
                <w:i w:val="false"/>
                <w:strike w:val="false"/>
                <w:color w:val="000000"/>
                <w:spacing w:val="0"/>
                <w:sz w:val="21"/>
                <w:u w:val="none"/>
              </w:rPr>
              <w:t>风险程度</w:t>
            </w:r>
          </w:p>
        </w:tc>
        <w:tc>
          <w:tcPr>
            <w:tcW w:w="2850"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pPr>
            <w:r>
              <w:rPr>
                <w:rFonts w:ascii="宋体" w:hAnsi="宋体" w:eastAsia="宋体" w:cs="宋体"/>
                <w:b/>
                <w:i w:val="false"/>
                <w:strike w:val="false"/>
                <w:color w:val="000000"/>
                <w:spacing w:val="0"/>
                <w:sz w:val="21"/>
                <w:u w:val="none"/>
              </w:rPr>
              <w:t>说明</w:t>
            </w:r>
          </w:p>
        </w:tc>
      </w:tr>
      <w:tr>
        <w:trPr>
          <w:trHeight w:val="567" w:hRule="atLeast"/>
        </w:trPr>
        <w:tc>
          <w:tcPr>
            <w:tcW w:w="3000"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rPr>
              <w:t>市场风险</w:t>
            </w:r>
          </w:p>
        </w:tc>
        <w:tc>
          <w:tcPr>
            <w:tcW w:w="2445"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rPr>
              <w:t>一般</w:t>
            </w:r>
          </w:p>
        </w:tc>
        <w:tc>
          <w:tcPr>
            <w:tcW w:w="2850"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rPr>
              <w:t>市场需求及竞争</w:t>
            </w:r>
          </w:p>
        </w:tc>
      </w:tr>
      <w:tr>
        <w:trPr>
          <w:trHeight w:val="567" w:hRule="atLeast"/>
        </w:trPr>
        <w:tc>
          <w:tcPr>
            <w:tcW w:w="3000"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rPr>
              <w:t>资金风险</w:t>
            </w:r>
          </w:p>
        </w:tc>
        <w:tc>
          <w:tcPr>
            <w:tcW w:w="2445"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rPr>
              <w:t>一般</w:t>
            </w:r>
          </w:p>
        </w:tc>
        <w:tc>
          <w:tcPr>
            <w:tcW w:w="2850"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rPr>
              <w:t>项目投资额较大</w:t>
            </w:r>
          </w:p>
        </w:tc>
      </w:tr>
      <w:tr>
        <w:trPr>
          <w:trHeight w:val="567" w:hRule="atLeast"/>
        </w:trPr>
        <w:tc>
          <w:tcPr>
            <w:tcW w:w="3000"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rPr>
              <w:t>项目策划与管理风险</w:t>
            </w:r>
          </w:p>
        </w:tc>
        <w:tc>
          <w:tcPr>
            <w:tcW w:w="2445"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rPr>
              <w:t>一般</w:t>
            </w:r>
          </w:p>
        </w:tc>
        <w:tc>
          <w:tcPr>
            <w:tcW w:w="2850"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rPr>
              <w:t>项目功能系统复杂</w:t>
            </w:r>
          </w:p>
        </w:tc>
      </w:tr>
      <w:tr>
        <w:trPr>
          <w:trHeight w:val="567" w:hRule="atLeast"/>
        </w:trPr>
        <w:tc>
          <w:tcPr>
            <w:tcW w:w="3000"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rPr>
              <w:t>政策风险</w:t>
            </w:r>
          </w:p>
        </w:tc>
        <w:tc>
          <w:tcPr>
            <w:tcW w:w="2445"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rPr>
              <w:t>一般</w:t>
            </w:r>
          </w:p>
        </w:tc>
        <w:tc>
          <w:tcPr>
            <w:tcW w:w="2850"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rPr>
              <w:t>具有政策优势</w:t>
            </w:r>
          </w:p>
        </w:tc>
      </w:tr>
      <w:tr>
        <w:trPr>
          <w:trHeight w:val="567" w:hRule="atLeast"/>
        </w:trPr>
        <w:tc>
          <w:tcPr>
            <w:tcW w:w="3000"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rPr>
              <w:t>技术风险</w:t>
            </w:r>
          </w:p>
        </w:tc>
        <w:tc>
          <w:tcPr>
            <w:tcW w:w="2445"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rPr>
              <w:t>较小</w:t>
            </w:r>
          </w:p>
        </w:tc>
        <w:tc>
          <w:tcPr>
            <w:tcW w:w="2850"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rPr>
              <w:t>技术成熟</w:t>
            </w:r>
          </w:p>
        </w:tc>
      </w:tr>
    </w:tbl>
    <w:p>
      <w:pPr>
        <w:keepNext w:val="false"/>
        <w:keepLines w:val="false"/>
        <w:pageBreakBefore w:val="false"/>
        <w:widowControl w:val="false"/>
        <w:kinsoku/>
        <w:wordWrap/>
        <w:overflowPunct/>
        <w:topLinePunct w:val="false"/>
        <w:autoSpaceDE w:val="false"/>
        <w:autoSpaceDN w:val="false"/>
        <w:bidi w:val="false"/>
        <w:adjustRightInd/>
        <w:snapToGrid/>
        <w:spacing w:before="157" w:beforeLines="50" w:after="157" w:afterLines="50" w:line="360" w:lineRule="auto"/>
        <w:ind w:right="0" w:rightChars="0" w:firstLine="420" w:firstLineChars="200"/>
        <w:jc w:val="both"/>
        <w:textAlignment w:val="baseline"/>
        <w:rPr>
          <w:sz w:val="21"/>
          <w:szCs w:val="21"/>
        </w:rPr>
      </w:pPr>
      <w:r>
        <w:rPr>
          <w:rFonts w:ascii="宋体" w:hAnsi="宋体" w:eastAsia="宋体" w:cs="宋体"/>
          <w:i w:val="false"/>
          <w:strike w:val="false"/>
          <w:color w:val="000000"/>
          <w:spacing w:val="0"/>
          <w:sz w:val="21"/>
          <w:szCs w:val="21"/>
          <w:u w:val="none"/>
        </w:rPr>
        <w:t>注：上表把风险程度分为五个档次：微小、较小、一般、较大、重大。</w:t>
      </w:r>
    </w:p>
    <w:bookmarkStart w:id="114" w:name="_Toc17787"/>
    <w:bookmarkStart w:id="115" w:name="_Toc28378"/>
    <w:bookmarkStart w:id="116" w:name="_Toc17111"/>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rPr>
      </w:pPr>
      <w:r>
        <w:rPr>
          <w:rFonts w:hint="eastAsia" w:ascii="宋体" w:hAnsi="宋体" w:eastAsia="宋体" w:cs="宋体"/>
          <w:b/>
          <w:bCs/>
          <w:sz w:val="28"/>
          <w:szCs w:val="28"/>
        </w:rPr>
        <w:t>8.3 风险管控方案</w:t>
      </w:r>
      <w:bookmarkEnd w:id="114"/>
      <w:bookmarkEnd w:id="115"/>
      <w:bookmarkEnd w:id="116"/>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项目投资的成功在很大程度上依赖于对风险的认识和管理，及早发现或预测到上述风险并能及时地采取有效的措施，可以化解或缓和、减轻、控制这些风险。本项目控制风险的措施如下：</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1、政策风险应对措施</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加强项目管理和建设，确保项目建设始终沿着正确的方向进行。</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2、市场风险应对措施</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针对市场风险，应做好配套的项目招商引资方案，从项目前期策划就对市场进行详细分析，制定针对性的营销策略，完善软硬件配套设施，增强服务的深度和广度，不断的开拓新的市场份额。</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3、财务风险应对措施</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实行严格的资金借贷和运用审批制度，根据项目发展情况和资金市场成本变化，调整资本结构；使投资项目尽快产生效益，提高资产盈利能力，降低投资风险；加强对业务收入、业务支出、日常现金等的管理，在保持较高的流动性的基础上，减少资金占用；加大资本运营的力度，构筑和拓宽畅通的融资渠道，为项目的资金供应建立稳固的渠道，加强对资金运行情况的监控，最大限度地提高资金使用效率；实施财务预决算制度；建立相应的风险预警机制，加强内部管理，严格规章制度，把可能发生的损失降低到最低程度。</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4、管理风险应对措施</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制定完善各项管理制度；加强对管理人员组织结构、管理制度、管理方法等方面的内部培训、外部培训，提高其整体素质和经营管理水平；推行目标成本全面管理，加强成本控制；倡导组织创新、思想创新，以适应不断变化的外部环境。设计项目管理运营模式时应本着“严谨、细实”的原则，建立并完善了相应的管理体制和内部组织机构，并使之规范运行。不断向同行业其它经营较好的企业学习，不断丰富自身管理经验，逐步提升管理水平。</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5、技术风险应对措施</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提高技术水平，开发具有自主知识产权的技术，重视技术方案的咨询论证，就技术方案的可行性进行研究，对项目方案的风险水平与收益水平进行比较，对方案实施后的可能结果进行猜测。应改善内部组织，建立有利于技术创新的生产过程组织。建立健全技术开发的风险预警系统，及时发现技术开发和项目运营过程中的风险隐患。</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6、自然风险应对措施</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为避免项目在实施过程中发生意外及其他各种不可抗拒因素给政府造成损失，一方面建议项目单位在财务预算中拨出专款，购买各种保险以规避可能遇到的风险；另一方面建议建设单位建立完善的自然风险预警制度和自然风险应急救援措施。</w:t>
      </w:r>
    </w:p>
    <w:bookmarkStart w:id="117" w:name="_Toc4480"/>
    <w:bookmarkStart w:id="118" w:name="_Toc28990"/>
    <w:bookmarkStart w:id="119" w:name="_Toc26235"/>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rPr>
      </w:pPr>
      <w:r>
        <w:rPr>
          <w:rFonts w:hint="eastAsia" w:ascii="宋体" w:hAnsi="宋体" w:eastAsia="宋体" w:cs="宋体"/>
          <w:b/>
          <w:bCs/>
          <w:sz w:val="28"/>
          <w:szCs w:val="28"/>
        </w:rPr>
        <w:t>8.4 重大风险管控应急预案</w:t>
      </w:r>
      <w:bookmarkEnd w:id="117"/>
      <w:bookmarkEnd w:id="118"/>
      <w:bookmarkEnd w:id="119"/>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根据对各种风险因素及风险程度的分析，本项目面临的主要风险已经明确，针对这些风险因素提出如下的防范和降低风险的措施：</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1、为了使该项目顺利实施，甲方事前做好充分准备，通过多渠道进行融资，利用好各级政府的各项优惠政策，在保证质量的前提下，加快项目实施进度，尽可能规避融资风险。</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2、加强工程的施工管理，提高工程质量，保证施工进度。</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3、加强企业的自身管理，提高监管能力，有效控制工程造价。</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密切关注国家宏观经济政策的变化，加强对影响行业的政策和相关因素的分析研究，及时制定有效的对策，使建设规模和结构适应行业发展和市场供求的趋势，尽可能把政策影响降低到最低水平，确保本项目的顺利实施。</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5、要严格贯彻执行建设和管理的有关法规，加强人员培训，严格技术管理，严把建设过程的每一道关口，确保工程质量稳定可靠。</w:t>
      </w:r>
    </w:p>
    <w:p>
      <w:pPr>
        <w:rPr>
          <w:rFonts w:ascii="宋体" w:hAnsi="宋体" w:eastAsia="宋体" w:cs="宋体"/>
          <w:i w:val="false"/>
          <w:strike w:val="false"/>
          <w:color w:val="000000"/>
          <w:spacing w:val="0"/>
          <w:sz w:val="28"/>
          <w:u w:val="none"/>
        </w:rPr>
      </w:pPr>
      <w:r>
        <w:rPr>
          <w:rFonts w:ascii="宋体" w:hAnsi="宋体" w:eastAsia="宋体" w:cs="宋体"/>
          <w:i w:val="false"/>
          <w:strike w:val="false"/>
          <w:color w:val="000000"/>
          <w:spacing w:val="0"/>
          <w:sz w:val="28"/>
          <w:u w:val="none"/>
        </w:rPr>
        <w:br w:type="page"/>
      </w:r>
    </w:p>
    <w:bookmarkStart w:id="120" w:name="_Toc14313"/>
    <w:bookmarkStart w:id="121" w:name="_Toc17603"/>
    <w:bookmarkStart w:id="122" w:name="_Toc12761"/>
    <w:p>
      <w:pPr>
        <w:keepNext w:val="false"/>
        <w:keepLines w:val="false"/>
        <w:pageBreakBefore w:val="false"/>
        <w:widowControl/>
        <w:kinsoku w:val="false"/>
        <w:wordWrap/>
        <w:overflowPunct/>
        <w:topLinePunct w:val="false"/>
        <w:autoSpaceDE w:val="false"/>
        <w:autoSpaceDN w:val="false"/>
        <w:bidi w:val="false"/>
        <w:adjustRightInd/>
        <w:snapToGrid/>
        <w:spacing w:before="0" w:beforeLines="100" w:after="0" w:afterLines="100" w:line="360" w:lineRule="auto"/>
        <w:jc w:val="center"/>
        <w:textAlignment w:val="baseline"/>
        <w:outlineLvl w:val="0"/>
        <w:rPr>
          <w:rFonts w:hint="eastAsia" w:ascii="宋体" w:hAnsi="宋体" w:eastAsia="宋体" w:cs="宋体"/>
          <w:b/>
          <w:bCs/>
          <w:sz w:val="36"/>
          <w:szCs w:val="36"/>
        </w:rPr>
      </w:pPr>
      <w:r>
        <w:rPr>
          <w:rFonts w:hint="eastAsia" w:ascii="宋体" w:hAnsi="宋体" w:eastAsia="宋体" w:cs="宋体"/>
          <w:b/>
          <w:bCs/>
          <w:sz w:val="36"/>
          <w:szCs w:val="36"/>
        </w:rPr>
        <w:t>第九章 结论和建议</w:t>
      </w:r>
      <w:bookmarkEnd w:id="120"/>
      <w:bookmarkEnd w:id="121"/>
      <w:bookmarkEnd w:id="122"/>
    </w:p>
    <w:bookmarkStart w:id="123" w:name="_Toc17184"/>
    <w:bookmarkStart w:id="124" w:name="_Toc6270"/>
    <w:bookmarkStart w:id="125" w:name="_Toc18930"/>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rPr>
      </w:pPr>
      <w:r>
        <w:rPr>
          <w:rFonts w:hint="eastAsia" w:ascii="宋体" w:hAnsi="宋体" w:eastAsia="宋体" w:cs="宋体"/>
          <w:b/>
          <w:bCs/>
          <w:sz w:val="28"/>
          <w:szCs w:val="28"/>
        </w:rPr>
        <w:t>9.1 结论</w:t>
      </w:r>
      <w:bookmarkEnd w:id="123"/>
      <w:bookmarkEnd w:id="124"/>
      <w:bookmarkEnd w:id="125"/>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获嘉县作为一个工业+农业蓬勃发展的区域，区域内有着众多大中小企业聚集，在经济下行的大环境下，企业亟需降本增效进行转型升级。在此背景下，本项目的实施显得尤为重要。本项目不仅能够帮助获嘉县中小企业降低经营成本，更通过技术创新与资源整合，显著提升了绿色能源的开发和使用，推动了双碳的战略发展进度，促进了当地中小企业转型升级，为获嘉县营造了一个更加优越的投资与营商环境。</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2、本项目建设规模合理，建设条件具备，建设方案可行，投资规模适中，资金来源有保证，具有一定的抗风险能力、良好的经济和社会效益，建议尽快实施早日建成发挥良好的经济效益和社会效益。</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3、本项目的建设是积极顺应供给侧结构性改革大势，大力实施创新新驱动战略，努力推动经济发展方式转变和经济结构调整的重要举措。</w:t>
      </w:r>
    </w:p>
    <w:bookmarkStart w:id="126" w:name="_Toc3775"/>
    <w:bookmarkStart w:id="127" w:name="_Toc31302"/>
    <w:bookmarkStart w:id="128" w:name="_Toc22194"/>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rPr>
      </w:pPr>
      <w:r>
        <w:rPr>
          <w:rFonts w:hint="eastAsia" w:ascii="宋体" w:hAnsi="宋体" w:eastAsia="宋体" w:cs="宋体"/>
          <w:b/>
          <w:bCs/>
          <w:sz w:val="28"/>
          <w:szCs w:val="28"/>
        </w:rPr>
        <w:t>9.2 建议</w:t>
      </w:r>
      <w:bookmarkEnd w:id="126"/>
      <w:bookmarkEnd w:id="127"/>
      <w:bookmarkEnd w:id="128"/>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建议建设单位加快项目的前期工作进程，积极落实建设资金，落实设计及施工单位，尽早开工，保质保量按时完成工程建设，及时投入使用，尽快发挥项目应有的社会效益。同时也建议政府各有关部门积极支持该项目的建设。</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1、向地方政府争取相关政策支持和优惠措施，例如税收优惠等。这些政策能够降低项目建设和运营成本，提高投资回报率，吸引更多资金和资源参与到项目中来。</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2、建设项目单位应尽早办理各种手续，抓紧时间落实，做好项目前期工作，并尽早组织开工建设。</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3、水、电、气、通风等设施应积极采用节能、节水、节材并符合环境保护和计量要求的新技术、新设备，电度表、水表等计量设备安装使用前应进行首次强制检测。</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4、建议建设单位通过加强管理来控制工程风险。良好的项目管理是项目取得成功的重要保证。从投资开发来看，项目全过程的投资、进度和质量是控制的重点。</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5、为了尽快实施该项目，应当优化项目管理流程和执行计划。确保项目各阶段的设计、审批、采购和施工能够高效有序地进行，避免因流程繁琐或延迟导致项目推迟。</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6、项目应严格按环保“三同时”原则，搞好环境治理工作。</w:t>
      </w:r>
    </w:p>
    <w:p>
      <w:pPr>
        <w:snapToGrid/>
        <w:spacing w:line="240" w:lineRule="auto"/>
        <w:rPr/>
      </w:pPr>
    </w:p>
    <w:p>
      <w:pPr>
        <w:snapToGrid/>
        <w:spacing w:line="240" w:lineRule="auto"/>
        <w:rPr/>
      </w:pPr>
    </w:p>
    <w:p>
      <w:pPr>
        <w:snapToGrid/>
        <w:spacing w:line="240" w:lineRule="auto"/>
        <w:rPr/>
      </w:pPr>
      <w:r>
        <w:rPr>
          <w:rFonts w:ascii="Arial" w:hAnsi="Arial" w:eastAsia="Arial" w:cs="Arial"/>
          <w:i w:val="false"/>
          <w:strike w:val="false"/>
          <w:color w:val="000000"/>
          <w:sz w:val="21"/>
          <w:u w:val="none"/>
        </w:rPr>
        <w:t> </w:t>
      </w:r>
    </w:p>
    <w:p>
      <w:pPr>
        <w:snapToGrid/>
        <w:spacing w:before="157" w:after="157" w:line="360" w:lineRule="auto"/>
        <w:ind w:right="0" w:rightChars="0" w:firstLine="420" w:firstLineChars="200"/>
        <w:jc w:val="both"/>
        <w:rPr/>
      </w:pPr>
    </w:p>
    <w:p>
      <w:pPr>
        <w:keepNext w:val="false"/>
        <w:keepLines w:val="false"/>
        <w:pageBreakBefore w:val="false"/>
        <w:widowControl w:val="false"/>
        <w:pBdr>
          <w:bottom w:val="none" w:color="auto" w:sz="0" w:space="0"/>
        </w:pBdr>
        <w:kinsoku/>
        <w:wordWrap/>
        <w:overflowPunct/>
        <w:topLinePunct w:val="false"/>
        <w:autoSpaceD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pPr>
      <w:r>
        <w:rPr>
          <w:rFonts w:hint="eastAsia" w:ascii="宋体" w:hAnsi="宋体" w:eastAsia="宋体" w:cs="宋体"/>
          <w:snapToGrid/>
          <w:spacing w:val="0"/>
          <w:w w:val="100"/>
          <w:kern w:val="2"/>
          <w:position w:val="0"/>
          <w:sz w:val="28"/>
          <w:szCs w:val="28"/>
          <w:lang w:val="en-US" w:eastAsia="zh-CN" w:bidi="zh-CN"/>
        </w:rPr>
        <w:br w:type="page"/>
      </w:r>
    </w:p>
    <w:p>
      <w:pPr>
        <w:sectPr>
          <w:footerReference r:id="rId6"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425" w:num="1"/>
          <w:docGrid w:type="lines" w:linePitch="312" w:charSpace="0"/>
        </w:sectPr>
      </w:pPr>
    </w:p>
    <w:bookmarkStart w:id="129" w:name="_Toc1013"/>
    <w:bookmarkStart w:id="130" w:name="_Toc10969"/>
    <w:bookmarkStart w:id="131" w:name="_Toc17335"/>
    <w:p>
      <w:pPr>
        <w:keepNext w:val="false"/>
        <w:keepLines w:val="false"/>
        <w:pageBreakBefore w:val="false"/>
        <w:widowControl/>
        <w:kinsoku w:val="false"/>
        <w:wordWrap/>
        <w:overflowPunct/>
        <w:topLinePunct w:val="false"/>
        <w:autoSpaceDE w:val="false"/>
        <w:autoSpaceDN w:val="false"/>
        <w:bidi w:val="false"/>
        <w:adjustRightInd w:val="false"/>
        <w:snapToGrid w:val="false"/>
        <w:spacing w:line="360" w:lineRule="auto"/>
        <w:textAlignment w:val="baseline"/>
        <w:outlineLvl w:val="0"/>
        <w:rPr>
          <w:rFonts w:hint="eastAsia" w:ascii="宋体" w:hAnsi="宋体" w:eastAsia="宋体" w:cs="宋体"/>
          <w:b/>
          <w:bCs/>
          <w:i w:val="false"/>
          <w:iCs w:val="false"/>
          <w:color w:val="auto"/>
          <w:kern w:val="0"/>
          <w:sz w:val="28"/>
          <w:szCs w:val="28"/>
          <w:u w:val="none"/>
          <w:lang w:val="en-US" w:eastAsia="zh-CN"/>
        </w:rPr>
      </w:pPr>
      <w:r>
        <w:rPr>
          <w:rFonts w:hint="eastAsia" w:ascii="宋体" w:hAnsi="宋体" w:eastAsia="宋体" w:cs="宋体"/>
          <w:b/>
          <w:bCs/>
          <w:i w:val="false"/>
          <w:iCs w:val="false"/>
          <w:color w:val="auto"/>
          <w:kern w:val="0"/>
          <w:sz w:val="28"/>
          <w:szCs w:val="28"/>
          <w:u w:val="none"/>
          <w:lang w:val="en-US" w:eastAsia="zh-CN"/>
        </w:rPr>
        <w:t>附表1：建设投资估算表</w:t>
      </w:r>
      <w:bookmarkEnd w:id="129"/>
      <w:bookmarkEnd w:id="130"/>
      <w:bookmarkEnd w:id="131"/>
    </w:p>
    <w:tbl>
      <w:tblPr>
        <w:tblStyle w:val="00000a"/>
        <w:tblW w:w="0" w:type="auto"/>
        <w:tblInd w:w="11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71"/>
        <w:gridCol w:w="3091"/>
        <w:gridCol w:w="1230"/>
        <w:gridCol w:w="1156"/>
        <w:gridCol w:w="1285"/>
        <w:gridCol w:w="1285"/>
        <w:gridCol w:w="1284"/>
        <w:gridCol w:w="870"/>
        <w:gridCol w:w="1245"/>
        <w:gridCol w:w="1724"/>
      </w:tblGrid>
      <w:tr>
        <w:trPr>
          <w:trHeight w:val="476" w:hRule="atLeast"/>
          <w:tblHeader/>
        </w:trPr>
        <w:tc>
          <w:tcPr>
            <w:tcW w:w="13941" w:type="dxa"/>
            <w:gridSpan w:val="10"/>
            <w:tcBorders>
              <w:top w:val="nil"/>
              <w:left w:val="nil"/>
              <w:bottom w:val="nil"/>
              <w:right w:val="nil"/>
            </w:tcBorders>
            <w:shd w:val="clear" w:color="auto" w:fill="auto"/>
            <w:vAlign w:val="center"/>
          </w:tcPr>
          <w:p>
            <w:pPr>
              <w:keepNext w:val="false"/>
              <w:keepLines w:val="false"/>
              <w:widowControl/>
              <w:suppressLineNumbers w:val="false"/>
              <w:jc w:val="right"/>
              <w:textAlignment w:val="top"/>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color w:val="000000"/>
                <w:kern w:val="0"/>
                <w:sz w:val="21"/>
                <w:szCs w:val="21"/>
                <w:u w:val="none"/>
                <w:lang w:val="en-US" w:eastAsia="zh-CN"/>
              </w:rPr>
              <w:t>单位：万元</w:t>
            </w:r>
          </w:p>
        </w:tc>
      </w:tr>
      <w:tr>
        <w:trPr>
          <w:trHeight w:val="546" w:hRule="atLeast"/>
          <w:tblHeader/>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b/>
                <w:bCs/>
                <w:i w:val="false"/>
                <w:iCs w:val="false"/>
                <w:color w:val="00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rPr>
              <w:t>序号</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b/>
                <w:bCs/>
                <w:i w:val="false"/>
                <w:iCs w:val="false"/>
                <w:color w:val="00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rPr>
              <w:t>工程或费用名称</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b/>
                <w:bCs/>
                <w:i w:val="false"/>
                <w:iCs w:val="false"/>
                <w:color w:val="00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rPr>
              <w:t>建筑工程费</w:t>
            </w: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b/>
                <w:bCs/>
                <w:i w:val="false"/>
                <w:iCs w:val="false"/>
                <w:color w:val="00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rPr>
              <w:t>安装工程费</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b/>
                <w:bCs/>
                <w:i w:val="false"/>
                <w:iCs w:val="false"/>
                <w:color w:val="00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rPr>
              <w:t>设备购置费</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b/>
                <w:bCs/>
                <w:i w:val="false"/>
                <w:iCs w:val="false"/>
                <w:color w:val="00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rPr>
              <w:t>其他费用</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b/>
                <w:bCs/>
                <w:i w:val="false"/>
                <w:iCs w:val="false"/>
                <w:color w:val="00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rPr>
              <w:t>合计</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b/>
                <w:bCs/>
                <w:i w:val="false"/>
                <w:iCs w:val="false"/>
                <w:color w:val="00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rPr>
              <w:t>单位</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b/>
                <w:bCs/>
                <w:i w:val="false"/>
                <w:iCs w:val="false"/>
                <w:color w:val="00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rPr>
              <w:t>数量</w:t>
            </w:r>
          </w:p>
        </w:tc>
        <w:tc>
          <w:tcPr>
            <w:tcW w:w="17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b/>
                <w:bCs/>
                <w:i w:val="false"/>
                <w:iCs w:val="false"/>
                <w:color w:val="00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rPr>
              <w:t>综合单价（万元）</w:t>
            </w:r>
          </w:p>
        </w:tc>
      </w:tr>
      <w:tr>
        <w:trPr>
          <w:trHeight w:val="42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一</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工程费用</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97.87</w:t>
            </w: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332.31</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3220.94</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false"/>
                <w:iCs w:val="false"/>
                <w:color w:val="FF0000"/>
                <w:sz w:val="18"/>
                <w:szCs w:val="18"/>
                <w:u w:val="none"/>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3651.12</w:t>
            </w:r>
          </w:p>
        </w:tc>
        <w:tc>
          <w:tcPr>
            <w:tcW w:w="383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89.37%</w:t>
            </w:r>
          </w:p>
        </w:tc>
      </w:tr>
      <w:tr>
        <w:trPr>
          <w:trHeight w:val="42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（一）</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光伏发电工程</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38.15</w:t>
            </w: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315.00</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3077.41</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false"/>
                <w:iCs w:val="false"/>
                <w:color w:val="FF0000"/>
                <w:sz w:val="18"/>
                <w:szCs w:val="18"/>
                <w:u w:val="none"/>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3430.56</w:t>
            </w:r>
          </w:p>
        </w:tc>
        <w:tc>
          <w:tcPr>
            <w:tcW w:w="383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sz w:val="18"/>
                <w:szCs w:val="18"/>
              </w:rPr>
            </w:pPr>
            <w:r>
              <w:rPr>
                <w:rFonts w:hint="eastAsia" w:ascii="宋体" w:hAnsi="宋体" w:eastAsia="宋体" w:cs="宋体"/>
                <w:b/>
                <w:bCs/>
                <w:i w:val="false"/>
                <w:iCs w:val="false"/>
                <w:snapToGrid w:val="false"/>
                <w:color w:val="000000"/>
                <w:kern w:val="0"/>
                <w:sz w:val="18"/>
                <w:szCs w:val="18"/>
                <w:u w:val="none"/>
                <w:lang w:val="en-US" w:eastAsia="zh-CN" w:bidi="ar"/>
              </w:rPr>
              <w:t>83.97%</w:t>
            </w:r>
          </w:p>
        </w:tc>
      </w:tr>
      <w:tr>
        <w:trPr>
          <w:trHeight w:val="420" w:hRule="atLeast"/>
        </w:trPr>
        <w:tc>
          <w:tcPr>
            <w:tcW w:w="771" w:type="dxa"/>
            <w:tcBorders>
              <w:top w:val="single" w:color="000000" w:sz="4" w:space="0"/>
              <w:left w:val="single" w:color="000000" w:sz="4" w:space="0"/>
              <w:bottom w:val="nil"/>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1</w:t>
            </w:r>
          </w:p>
        </w:tc>
        <w:tc>
          <w:tcPr>
            <w:tcW w:w="3091" w:type="dxa"/>
            <w:tcBorders>
              <w:top w:val="single" w:color="000000" w:sz="4" w:space="0"/>
              <w:left w:val="single" w:color="000000" w:sz="4" w:space="0"/>
              <w:bottom w:val="nil"/>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光伏组件</w:t>
            </w:r>
          </w:p>
        </w:tc>
        <w:tc>
          <w:tcPr>
            <w:tcW w:w="1230" w:type="dxa"/>
            <w:tcBorders>
              <w:top w:val="single" w:color="000000" w:sz="4" w:space="0"/>
              <w:left w:val="single" w:color="000000" w:sz="4" w:space="0"/>
              <w:bottom w:val="nil"/>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38.15</w:t>
            </w:r>
          </w:p>
        </w:tc>
        <w:tc>
          <w:tcPr>
            <w:tcW w:w="1156" w:type="dxa"/>
            <w:tcBorders>
              <w:top w:val="single" w:color="000000" w:sz="4" w:space="0"/>
              <w:left w:val="single" w:color="000000" w:sz="4" w:space="0"/>
              <w:bottom w:val="nil"/>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90.00</w:t>
            </w:r>
          </w:p>
        </w:tc>
        <w:tc>
          <w:tcPr>
            <w:tcW w:w="1285" w:type="dxa"/>
            <w:tcBorders>
              <w:top w:val="single" w:color="000000" w:sz="4" w:space="0"/>
              <w:left w:val="single" w:color="000000" w:sz="4" w:space="0"/>
              <w:bottom w:val="nil"/>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780.79</w:t>
            </w:r>
          </w:p>
        </w:tc>
        <w:tc>
          <w:tcPr>
            <w:tcW w:w="1285" w:type="dxa"/>
            <w:tcBorders>
              <w:top w:val="single" w:color="000000" w:sz="4" w:space="0"/>
              <w:left w:val="single" w:color="000000" w:sz="4" w:space="0"/>
              <w:bottom w:val="nil"/>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908.94</w:t>
            </w:r>
          </w:p>
        </w:tc>
        <w:tc>
          <w:tcPr>
            <w:tcW w:w="870" w:type="dxa"/>
            <w:tcBorders>
              <w:top w:val="single" w:color="000000" w:sz="4" w:space="0"/>
              <w:left w:val="single" w:color="000000" w:sz="4" w:space="0"/>
              <w:bottom w:val="nil"/>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b/>
                <w:bCs/>
                <w:i w:val="false"/>
                <w:iCs w:val="false"/>
                <w:color w:val="FF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KW</w:t>
            </w:r>
          </w:p>
        </w:tc>
        <w:tc>
          <w:tcPr>
            <w:tcW w:w="1245" w:type="dxa"/>
            <w:tcBorders>
              <w:top w:val="single" w:color="000000" w:sz="4" w:space="0"/>
              <w:left w:val="single" w:color="000000" w:sz="4" w:space="0"/>
              <w:bottom w:val="nil"/>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b/>
                <w:bCs/>
                <w:i w:val="false"/>
                <w:iCs w:val="false"/>
                <w:color w:val="FF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3000</w:t>
            </w:r>
          </w:p>
        </w:tc>
        <w:tc>
          <w:tcPr>
            <w:tcW w:w="1724" w:type="dxa"/>
            <w:tcBorders>
              <w:top w:val="single" w:color="000000" w:sz="4" w:space="0"/>
              <w:left w:val="single" w:color="000000" w:sz="4" w:space="0"/>
              <w:bottom w:val="nil"/>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b/>
                <w:bCs/>
                <w:i w:val="false"/>
                <w:iCs w:val="false"/>
                <w:color w:val="FF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0.303</w:t>
            </w:r>
          </w:p>
        </w:tc>
      </w:tr>
      <w:tr>
        <w:trPr>
          <w:trHeight w:val="395"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lang w:val="en-US" w:eastAsia="zh-CN"/>
              </w:rPr>
            </w:pPr>
            <w:r>
              <w:rPr>
                <w:rFonts w:hint="eastAsia" w:ascii="宋体" w:hAnsi="宋体" w:eastAsia="宋体" w:cs="宋体"/>
                <w:i w:val="false"/>
                <w:iCs w:val="false"/>
                <w:snapToGrid w:val="false"/>
                <w:color w:val="000000"/>
                <w:kern w:val="0"/>
                <w:sz w:val="18"/>
                <w:szCs w:val="18"/>
                <w:u w:val="none"/>
                <w:lang w:val="en-US" w:eastAsia="zh-CN" w:bidi="ar"/>
              </w:rPr>
              <w:t>1.1</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光伏组件A级</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474.50</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474.50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块</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sz w:val="18"/>
                <w:szCs w:val="18"/>
              </w:rPr>
            </w:pPr>
            <w:r>
              <w:rPr>
                <w:rFonts w:hint="eastAsia" w:ascii="宋体" w:hAnsi="宋体" w:eastAsia="宋体" w:cs="宋体"/>
                <w:i w:val="false"/>
                <w:iCs w:val="false"/>
                <w:snapToGrid w:val="false"/>
                <w:color w:val="000000"/>
                <w:kern w:val="0"/>
                <w:sz w:val="18"/>
                <w:szCs w:val="18"/>
                <w:u w:val="none"/>
                <w:lang w:val="en-US" w:eastAsia="zh-CN" w:bidi="ar"/>
              </w:rPr>
              <w:t>5454.00</w:t>
            </w:r>
          </w:p>
        </w:tc>
        <w:tc>
          <w:tcPr>
            <w:tcW w:w="17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sz w:val="18"/>
                <w:szCs w:val="18"/>
              </w:rPr>
            </w:pPr>
            <w:r>
              <w:rPr>
                <w:rFonts w:hint="eastAsia" w:ascii="宋体" w:hAnsi="宋体" w:eastAsia="宋体" w:cs="宋体"/>
                <w:i w:val="false"/>
                <w:iCs w:val="false"/>
                <w:snapToGrid w:val="false"/>
                <w:color w:val="000000"/>
                <w:kern w:val="0"/>
                <w:sz w:val="18"/>
                <w:szCs w:val="18"/>
                <w:u w:val="none"/>
                <w:lang w:val="en-US" w:eastAsia="zh-CN" w:bidi="ar"/>
              </w:rPr>
              <w:t>0.09</w:t>
            </w:r>
          </w:p>
        </w:tc>
      </w:tr>
      <w:tr>
        <w:trPr>
          <w:trHeight w:val="42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1.2</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逆变器</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75.60</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75.60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台</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sz w:val="18"/>
                <w:szCs w:val="18"/>
              </w:rPr>
            </w:pPr>
            <w:r>
              <w:rPr>
                <w:rFonts w:hint="eastAsia" w:ascii="宋体" w:hAnsi="宋体" w:eastAsia="宋体" w:cs="宋体"/>
                <w:i w:val="false"/>
                <w:iCs w:val="false"/>
                <w:snapToGrid w:val="false"/>
                <w:color w:val="000000"/>
                <w:kern w:val="0"/>
                <w:sz w:val="18"/>
                <w:szCs w:val="18"/>
                <w:u w:val="none"/>
                <w:lang w:val="en-US" w:eastAsia="zh-CN" w:bidi="ar"/>
              </w:rPr>
              <w:t>27.00</w:t>
            </w:r>
          </w:p>
        </w:tc>
        <w:tc>
          <w:tcPr>
            <w:tcW w:w="17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sz w:val="18"/>
                <w:szCs w:val="18"/>
              </w:rPr>
            </w:pPr>
            <w:r>
              <w:rPr>
                <w:rFonts w:hint="eastAsia" w:ascii="宋体" w:hAnsi="宋体" w:eastAsia="宋体" w:cs="宋体"/>
                <w:i w:val="false"/>
                <w:iCs w:val="false"/>
                <w:snapToGrid w:val="false"/>
                <w:color w:val="000000"/>
                <w:kern w:val="0"/>
                <w:sz w:val="18"/>
                <w:szCs w:val="18"/>
                <w:u w:val="none"/>
                <w:lang w:val="en-US" w:eastAsia="zh-CN" w:bidi="ar"/>
              </w:rPr>
              <w:t>2.80</w:t>
            </w:r>
          </w:p>
        </w:tc>
      </w:tr>
      <w:tr>
        <w:trPr>
          <w:trHeight w:val="42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1.3</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交流汇流箱</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6.82</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6.82</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台</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sz w:val="18"/>
                <w:szCs w:val="18"/>
              </w:rPr>
            </w:pPr>
            <w:r>
              <w:rPr>
                <w:rFonts w:hint="eastAsia" w:ascii="宋体" w:hAnsi="宋体" w:eastAsia="宋体" w:cs="宋体"/>
                <w:i w:val="false"/>
                <w:iCs w:val="false"/>
                <w:snapToGrid w:val="false"/>
                <w:color w:val="000000"/>
                <w:kern w:val="0"/>
                <w:sz w:val="18"/>
                <w:szCs w:val="18"/>
                <w:u w:val="none"/>
                <w:lang w:val="en-US" w:eastAsia="zh-CN" w:bidi="ar"/>
              </w:rPr>
              <w:t>6.00</w:t>
            </w:r>
          </w:p>
        </w:tc>
        <w:tc>
          <w:tcPr>
            <w:tcW w:w="17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sz w:val="18"/>
                <w:szCs w:val="18"/>
              </w:rPr>
            </w:pPr>
            <w:r>
              <w:rPr>
                <w:rFonts w:hint="eastAsia" w:ascii="宋体" w:hAnsi="宋体" w:eastAsia="宋体" w:cs="宋体"/>
                <w:i w:val="false"/>
                <w:iCs w:val="false"/>
                <w:snapToGrid w:val="false"/>
                <w:color w:val="000000"/>
                <w:kern w:val="0"/>
                <w:sz w:val="18"/>
                <w:szCs w:val="18"/>
                <w:u w:val="none"/>
                <w:lang w:val="en-US" w:eastAsia="zh-CN" w:bidi="ar"/>
              </w:rPr>
              <w:t>1.14</w:t>
            </w:r>
          </w:p>
        </w:tc>
      </w:tr>
      <w:tr>
        <w:trPr>
          <w:trHeight w:val="42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1.4</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光伏支架及配件</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78.44</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78.44</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km</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sz w:val="18"/>
                <w:szCs w:val="18"/>
              </w:rPr>
            </w:pPr>
            <w:r>
              <w:rPr>
                <w:rFonts w:hint="eastAsia" w:ascii="宋体" w:hAnsi="宋体" w:eastAsia="宋体" w:cs="宋体"/>
                <w:i w:val="false"/>
                <w:iCs w:val="false"/>
                <w:snapToGrid w:val="false"/>
                <w:color w:val="000000"/>
                <w:kern w:val="0"/>
                <w:sz w:val="18"/>
                <w:szCs w:val="18"/>
                <w:u w:val="none"/>
                <w:lang w:val="en-US" w:eastAsia="zh-CN" w:bidi="ar"/>
              </w:rPr>
              <w:t>45.87</w:t>
            </w:r>
          </w:p>
        </w:tc>
        <w:tc>
          <w:tcPr>
            <w:tcW w:w="17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sz w:val="18"/>
                <w:szCs w:val="18"/>
              </w:rPr>
            </w:pPr>
            <w:r>
              <w:rPr>
                <w:rFonts w:hint="eastAsia" w:ascii="宋体" w:hAnsi="宋体" w:eastAsia="宋体" w:cs="宋体"/>
                <w:i w:val="false"/>
                <w:iCs w:val="false"/>
                <w:snapToGrid w:val="false"/>
                <w:color w:val="000000"/>
                <w:kern w:val="0"/>
                <w:sz w:val="18"/>
                <w:szCs w:val="18"/>
                <w:u w:val="none"/>
                <w:lang w:val="en-US" w:eastAsia="zh-CN" w:bidi="ar"/>
              </w:rPr>
              <w:t>1.71</w:t>
            </w:r>
          </w:p>
        </w:tc>
      </w:tr>
      <w:tr>
        <w:trPr>
          <w:trHeight w:val="42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1.5</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光伏直流电缆</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24.57</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24.57</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km</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sz w:val="18"/>
                <w:szCs w:val="18"/>
              </w:rPr>
            </w:pPr>
            <w:r>
              <w:rPr>
                <w:rFonts w:hint="eastAsia" w:ascii="宋体" w:hAnsi="宋体" w:eastAsia="宋体" w:cs="宋体"/>
                <w:i w:val="false"/>
                <w:iCs w:val="false"/>
                <w:snapToGrid w:val="false"/>
                <w:color w:val="000000"/>
                <w:kern w:val="0"/>
                <w:sz w:val="18"/>
                <w:szCs w:val="18"/>
                <w:u w:val="none"/>
                <w:lang w:val="en-US" w:eastAsia="zh-CN" w:bidi="ar"/>
              </w:rPr>
              <w:t>63.00</w:t>
            </w:r>
          </w:p>
        </w:tc>
        <w:tc>
          <w:tcPr>
            <w:tcW w:w="17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sz w:val="18"/>
                <w:szCs w:val="18"/>
              </w:rPr>
            </w:pPr>
            <w:r>
              <w:rPr>
                <w:rFonts w:hint="eastAsia" w:ascii="宋体" w:hAnsi="宋体" w:eastAsia="宋体" w:cs="宋体"/>
                <w:i w:val="false"/>
                <w:iCs w:val="false"/>
                <w:snapToGrid w:val="false"/>
                <w:color w:val="000000"/>
                <w:kern w:val="0"/>
                <w:sz w:val="18"/>
                <w:szCs w:val="18"/>
                <w:u w:val="none"/>
                <w:lang w:val="en-US" w:eastAsia="zh-CN" w:bidi="ar"/>
              </w:rPr>
              <w:t>0.39</w:t>
            </w:r>
          </w:p>
        </w:tc>
      </w:tr>
      <w:tr>
        <w:trPr>
          <w:trHeight w:val="42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1.6</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MC4连接器</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0.71</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0.71</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千套</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sz w:val="18"/>
                <w:szCs w:val="18"/>
              </w:rPr>
            </w:pPr>
            <w:r>
              <w:rPr>
                <w:rFonts w:hint="eastAsia" w:ascii="宋体" w:hAnsi="宋体" w:eastAsia="宋体" w:cs="宋体"/>
                <w:i w:val="false"/>
                <w:iCs w:val="false"/>
                <w:snapToGrid w:val="false"/>
                <w:color w:val="000000"/>
                <w:kern w:val="0"/>
                <w:sz w:val="18"/>
                <w:szCs w:val="18"/>
                <w:u w:val="none"/>
                <w:lang w:val="en-US" w:eastAsia="zh-CN" w:bidi="ar"/>
              </w:rPr>
              <w:t>1.12</w:t>
            </w:r>
          </w:p>
        </w:tc>
        <w:tc>
          <w:tcPr>
            <w:tcW w:w="17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sz w:val="18"/>
                <w:szCs w:val="18"/>
              </w:rPr>
            </w:pPr>
            <w:r>
              <w:rPr>
                <w:rFonts w:hint="eastAsia" w:ascii="宋体" w:hAnsi="宋体" w:eastAsia="宋体" w:cs="宋体"/>
                <w:i w:val="false"/>
                <w:iCs w:val="false"/>
                <w:snapToGrid w:val="false"/>
                <w:color w:val="000000"/>
                <w:kern w:val="0"/>
                <w:sz w:val="18"/>
                <w:szCs w:val="18"/>
                <w:u w:val="none"/>
                <w:lang w:val="en-US" w:eastAsia="zh-CN" w:bidi="ar"/>
              </w:rPr>
              <w:t>0.63</w:t>
            </w:r>
          </w:p>
        </w:tc>
      </w:tr>
      <w:tr>
        <w:trPr>
          <w:trHeight w:val="42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1.7</w:t>
            </w:r>
          </w:p>
        </w:tc>
        <w:tc>
          <w:tcPr>
            <w:tcW w:w="3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交流电缆</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76.69</w:t>
            </w:r>
          </w:p>
        </w:tc>
        <w:tc>
          <w:tcPr>
            <w:tcW w:w="12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76.69</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b/>
                <w:bCs/>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km</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sz w:val="18"/>
                <w:szCs w:val="18"/>
              </w:rPr>
            </w:pPr>
            <w:r>
              <w:rPr>
                <w:rFonts w:hint="eastAsia" w:ascii="宋体" w:hAnsi="宋体" w:eastAsia="宋体" w:cs="宋体"/>
                <w:i w:val="false"/>
                <w:iCs w:val="false"/>
                <w:snapToGrid w:val="false"/>
                <w:color w:val="000000"/>
                <w:kern w:val="0"/>
                <w:sz w:val="18"/>
                <w:szCs w:val="18"/>
                <w:u w:val="none"/>
                <w:lang w:val="en-US" w:eastAsia="zh-CN" w:bidi="ar"/>
              </w:rPr>
              <w:t>4.13</w:t>
            </w:r>
          </w:p>
        </w:tc>
        <w:tc>
          <w:tcPr>
            <w:tcW w:w="17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sz w:val="18"/>
                <w:szCs w:val="18"/>
              </w:rPr>
            </w:pPr>
            <w:r>
              <w:rPr>
                <w:rFonts w:hint="eastAsia" w:ascii="宋体" w:hAnsi="宋体" w:eastAsia="宋体" w:cs="宋体"/>
                <w:i w:val="false"/>
                <w:iCs w:val="false"/>
                <w:snapToGrid w:val="false"/>
                <w:color w:val="000000"/>
                <w:kern w:val="0"/>
                <w:sz w:val="18"/>
                <w:szCs w:val="18"/>
                <w:u w:val="none"/>
                <w:lang w:val="en-US" w:eastAsia="zh-CN" w:bidi="ar"/>
              </w:rPr>
              <w:t>18.57</w:t>
            </w:r>
          </w:p>
        </w:tc>
      </w:tr>
      <w:tr>
        <w:trPr>
          <w:trHeight w:val="42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1.8</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干式变压器（箱变)</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12.15</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12.15</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台</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sz w:val="18"/>
                <w:szCs w:val="18"/>
              </w:rPr>
            </w:pPr>
            <w:r>
              <w:rPr>
                <w:rFonts w:hint="eastAsia" w:ascii="宋体" w:hAnsi="宋体" w:eastAsia="宋体" w:cs="宋体"/>
                <w:i w:val="false"/>
                <w:iCs w:val="false"/>
                <w:snapToGrid w:val="false"/>
                <w:color w:val="000000"/>
                <w:kern w:val="0"/>
                <w:sz w:val="18"/>
                <w:szCs w:val="18"/>
                <w:u w:val="none"/>
                <w:lang w:val="en-US" w:eastAsia="zh-CN" w:bidi="ar"/>
              </w:rPr>
              <w:t>1.00</w:t>
            </w:r>
          </w:p>
        </w:tc>
        <w:tc>
          <w:tcPr>
            <w:tcW w:w="17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sz w:val="18"/>
                <w:szCs w:val="18"/>
              </w:rPr>
            </w:pPr>
            <w:r>
              <w:rPr>
                <w:rFonts w:hint="eastAsia" w:ascii="宋体" w:hAnsi="宋体" w:eastAsia="宋体" w:cs="宋体"/>
                <w:i w:val="false"/>
                <w:iCs w:val="false"/>
                <w:snapToGrid w:val="false"/>
                <w:color w:val="000000"/>
                <w:kern w:val="0"/>
                <w:sz w:val="18"/>
                <w:szCs w:val="18"/>
                <w:u w:val="none"/>
                <w:lang w:val="en-US" w:eastAsia="zh-CN" w:bidi="ar"/>
              </w:rPr>
              <w:t>12.15</w:t>
            </w:r>
          </w:p>
        </w:tc>
      </w:tr>
      <w:tr>
        <w:trPr>
          <w:trHeight w:val="42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1.9</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光伏接入柜</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2.49</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2.49</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台</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sz w:val="18"/>
                <w:szCs w:val="18"/>
              </w:rPr>
            </w:pPr>
            <w:r>
              <w:rPr>
                <w:rFonts w:hint="eastAsia" w:ascii="宋体" w:hAnsi="宋体" w:eastAsia="宋体" w:cs="宋体"/>
                <w:i w:val="false"/>
                <w:iCs w:val="false"/>
                <w:snapToGrid w:val="false"/>
                <w:color w:val="000000"/>
                <w:kern w:val="0"/>
                <w:sz w:val="18"/>
                <w:szCs w:val="18"/>
                <w:u w:val="none"/>
                <w:lang w:val="en-US" w:eastAsia="zh-CN" w:bidi="ar"/>
              </w:rPr>
              <w:t>1.00</w:t>
            </w:r>
          </w:p>
        </w:tc>
        <w:tc>
          <w:tcPr>
            <w:tcW w:w="17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sz w:val="18"/>
                <w:szCs w:val="18"/>
              </w:rPr>
            </w:pPr>
            <w:r>
              <w:rPr>
                <w:rFonts w:hint="eastAsia" w:ascii="宋体" w:hAnsi="宋体" w:eastAsia="宋体" w:cs="宋体"/>
                <w:i w:val="false"/>
                <w:iCs w:val="false"/>
                <w:snapToGrid w:val="false"/>
                <w:color w:val="000000"/>
                <w:kern w:val="0"/>
                <w:sz w:val="18"/>
                <w:szCs w:val="18"/>
                <w:u w:val="none"/>
                <w:lang w:val="en-US" w:eastAsia="zh-CN" w:bidi="ar"/>
              </w:rPr>
              <w:t>2.49</w:t>
            </w:r>
          </w:p>
        </w:tc>
      </w:tr>
      <w:tr>
        <w:trPr>
          <w:trHeight w:val="42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并网柜</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2.70</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2.70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台</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1.00</w:t>
            </w:r>
          </w:p>
        </w:tc>
        <w:tc>
          <w:tcPr>
            <w:tcW w:w="17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2.70</w:t>
            </w:r>
          </w:p>
        </w:tc>
      </w:tr>
      <w:tr>
        <w:trPr>
          <w:trHeight w:val="42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1.12</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站用变电柜</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1.93</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1.93</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台</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1.00</w:t>
            </w:r>
          </w:p>
        </w:tc>
        <w:tc>
          <w:tcPr>
            <w:tcW w:w="17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1.93</w:t>
            </w:r>
          </w:p>
        </w:tc>
      </w:tr>
      <w:tr>
        <w:trPr>
          <w:trHeight w:val="42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1.13</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10kV动态无功补偿装置</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18.04</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18.04</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台</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1.00</w:t>
            </w:r>
          </w:p>
        </w:tc>
        <w:tc>
          <w:tcPr>
            <w:tcW w:w="17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18.04</w:t>
            </w:r>
          </w:p>
        </w:tc>
      </w:tr>
      <w:tr>
        <w:trPr>
          <w:trHeight w:val="42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1.14</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高压电缆</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6.16</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6.16</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m</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108.00</w:t>
            </w:r>
          </w:p>
        </w:tc>
        <w:tc>
          <w:tcPr>
            <w:tcW w:w="17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0.06</w:t>
            </w:r>
          </w:p>
        </w:tc>
      </w:tr>
      <w:tr>
        <w:trPr>
          <w:trHeight w:val="42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1.15</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土建基础</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38.15</w:t>
            </w: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38.15</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项</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1.00</w:t>
            </w:r>
          </w:p>
        </w:tc>
        <w:tc>
          <w:tcPr>
            <w:tcW w:w="17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38.15</w:t>
            </w:r>
          </w:p>
        </w:tc>
      </w:tr>
      <w:tr>
        <w:trPr>
          <w:trHeight w:val="42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1.16</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组件、电气安装、辅材等</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90.00</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90.00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KW</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3000.00</w:t>
            </w:r>
          </w:p>
        </w:tc>
        <w:tc>
          <w:tcPr>
            <w:tcW w:w="17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0.03</w:t>
            </w:r>
          </w:p>
        </w:tc>
      </w:tr>
      <w:tr>
        <w:trPr>
          <w:trHeight w:val="42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2</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电池储能集装箱</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default"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225.00</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2296.62</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2521.62</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KWH</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18000</w:t>
            </w:r>
          </w:p>
        </w:tc>
        <w:tc>
          <w:tcPr>
            <w:tcW w:w="17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0.1401</w:t>
            </w:r>
          </w:p>
        </w:tc>
      </w:tr>
      <w:tr>
        <w:trPr>
          <w:trHeight w:val="42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2.1</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电池系统 2000KWH</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1572.12</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1572.12</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个</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w:t>
            </w:r>
          </w:p>
        </w:tc>
        <w:tc>
          <w:tcPr>
            <w:tcW w:w="17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174.68</w:t>
            </w:r>
          </w:p>
        </w:tc>
      </w:tr>
      <w:tr>
        <w:trPr>
          <w:trHeight w:val="42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2.2</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储能变流器</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default"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225.00</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225</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个</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w:t>
            </w:r>
          </w:p>
        </w:tc>
        <w:tc>
          <w:tcPr>
            <w:tcW w:w="17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25.00</w:t>
            </w:r>
          </w:p>
        </w:tc>
      </w:tr>
      <w:tr>
        <w:trPr>
          <w:trHeight w:val="42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2.3</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集装箱柜体</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default"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103.50</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103.5</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个</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w:t>
            </w:r>
          </w:p>
        </w:tc>
        <w:tc>
          <w:tcPr>
            <w:tcW w:w="17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11.50</w:t>
            </w:r>
          </w:p>
        </w:tc>
      </w:tr>
      <w:tr>
        <w:trPr>
          <w:trHeight w:val="42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2.4</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温控系统</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default"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108.00</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108</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个</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w:t>
            </w:r>
          </w:p>
        </w:tc>
        <w:tc>
          <w:tcPr>
            <w:tcW w:w="17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12.00</w:t>
            </w:r>
          </w:p>
        </w:tc>
      </w:tr>
      <w:tr>
        <w:trPr>
          <w:trHeight w:val="42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2.5</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消防系统</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default"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121.50</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121.5</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个</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w:t>
            </w:r>
          </w:p>
        </w:tc>
        <w:tc>
          <w:tcPr>
            <w:tcW w:w="17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13.50</w:t>
            </w:r>
          </w:p>
        </w:tc>
      </w:tr>
      <w:tr>
        <w:trPr>
          <w:trHeight w:val="42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2.6</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储能EMS</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default"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90.00</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个</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w:t>
            </w:r>
          </w:p>
        </w:tc>
        <w:tc>
          <w:tcPr>
            <w:tcW w:w="17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10.00</w:t>
            </w:r>
          </w:p>
        </w:tc>
      </w:tr>
      <w:tr>
        <w:trPr>
          <w:trHeight w:val="42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2.7</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附件</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default"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76.50</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76.5</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个</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w:t>
            </w:r>
          </w:p>
        </w:tc>
        <w:tc>
          <w:tcPr>
            <w:tcW w:w="17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8.50</w:t>
            </w:r>
          </w:p>
        </w:tc>
      </w:tr>
      <w:tr>
        <w:trPr>
          <w:trHeight w:val="42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2.8</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储能箱基础及连接电缆</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default"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225.00</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225</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个</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w:t>
            </w:r>
          </w:p>
        </w:tc>
        <w:tc>
          <w:tcPr>
            <w:tcW w:w="17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25.00</w:t>
            </w:r>
          </w:p>
        </w:tc>
      </w:tr>
      <w:tr>
        <w:trPr>
          <w:trHeight w:val="42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snapToGrid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2.9</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snapToGrid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园区配套工程</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59.72</w:t>
            </w: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17.31</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143.54</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220.56</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b/>
                <w:bCs/>
                <w:i w:val="false"/>
                <w:iCs w:val="false"/>
                <w:snapToGrid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b/>
                <w:bCs/>
                <w:i w:val="false"/>
                <w:iCs w:val="false"/>
                <w:snapToGrid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5551.3</w:t>
            </w:r>
          </w:p>
        </w:tc>
        <w:tc>
          <w:tcPr>
            <w:tcW w:w="17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b/>
                <w:bCs/>
                <w:i w:val="false"/>
                <w:iCs w:val="false"/>
                <w:snapToGrid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0.227</w:t>
            </w:r>
          </w:p>
        </w:tc>
      </w:tr>
      <w:tr>
        <w:trPr>
          <w:trHeight w:val="42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2.10</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绿化等相关配套工程</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48.18</w:t>
            </w: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48.18</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152</w:t>
            </w:r>
          </w:p>
        </w:tc>
        <w:tc>
          <w:tcPr>
            <w:tcW w:w="17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0.317</w:t>
            </w:r>
          </w:p>
        </w:tc>
      </w:tr>
      <w:tr>
        <w:trPr>
          <w:trHeight w:val="42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2.11</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10kv储能变电站</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11.54</w:t>
            </w: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17.31</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86.54</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115.38</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90</w:t>
            </w:r>
          </w:p>
        </w:tc>
        <w:tc>
          <w:tcPr>
            <w:tcW w:w="17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1.282</w:t>
            </w:r>
          </w:p>
        </w:tc>
      </w:tr>
      <w:tr>
        <w:trPr>
          <w:trHeight w:val="42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2.12</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中心配电室变压器2000KVA</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default"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25.00</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25</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台</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w:t>
            </w:r>
          </w:p>
        </w:tc>
        <w:tc>
          <w:tcPr>
            <w:tcW w:w="17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25</w:t>
            </w:r>
          </w:p>
        </w:tc>
      </w:tr>
      <w:tr>
        <w:trPr>
          <w:trHeight w:val="42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光伏充电桩</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default"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32.00</w:t>
            </w:r>
            <w:bookmarkStart w:id="132" w:name="_GoBack"/>
            <w:bookmarkEnd w:id="132"/>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32</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个</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w:t>
            </w:r>
          </w:p>
        </w:tc>
        <w:tc>
          <w:tcPr>
            <w:tcW w:w="17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w:t>
            </w:r>
          </w:p>
        </w:tc>
      </w:tr>
      <w:tr>
        <w:trPr>
          <w:trHeight w:val="42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二</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工程建设其他费用</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201.42</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201.42</w:t>
            </w:r>
          </w:p>
        </w:tc>
        <w:tc>
          <w:tcPr>
            <w:tcW w:w="383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4.93%</w:t>
            </w:r>
          </w:p>
        </w:tc>
      </w:tr>
      <w:tr>
        <w:trPr>
          <w:trHeight w:val="42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建设管理费</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29.21</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29.21</w:t>
            </w:r>
          </w:p>
        </w:tc>
        <w:tc>
          <w:tcPr>
            <w:tcW w:w="383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r>
      <w:tr>
        <w:trPr>
          <w:trHeight w:val="42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建设工程监理费</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21.91</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21.91</w:t>
            </w:r>
          </w:p>
        </w:tc>
        <w:tc>
          <w:tcPr>
            <w:tcW w:w="383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r>
      <w:tr>
        <w:trPr>
          <w:trHeight w:val="42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建设项目前期工作咨询费</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18.26</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18.26</w:t>
            </w:r>
          </w:p>
        </w:tc>
        <w:tc>
          <w:tcPr>
            <w:tcW w:w="383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r>
      <w:tr>
        <w:trPr>
          <w:trHeight w:val="42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4</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屋顶荷载检测费</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26.17</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26.17</w:t>
            </w:r>
          </w:p>
        </w:tc>
        <w:tc>
          <w:tcPr>
            <w:tcW w:w="383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18"/>
                <w:szCs w:val="18"/>
              </w:rPr>
            </w:pPr>
          </w:p>
        </w:tc>
      </w:tr>
      <w:tr>
        <w:trPr>
          <w:trHeight w:val="42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5</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工程设计费</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36.51</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36.51</w:t>
            </w:r>
          </w:p>
        </w:tc>
        <w:tc>
          <w:tcPr>
            <w:tcW w:w="383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18"/>
                <w:szCs w:val="18"/>
              </w:rPr>
            </w:pPr>
          </w:p>
        </w:tc>
      </w:tr>
      <w:tr>
        <w:trPr>
          <w:trHeight w:val="42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6</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环境影响咨询服务费</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7.30</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7.30</w:t>
            </w:r>
          </w:p>
        </w:tc>
        <w:tc>
          <w:tcPr>
            <w:tcW w:w="383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18"/>
                <w:szCs w:val="18"/>
              </w:rPr>
            </w:pPr>
          </w:p>
        </w:tc>
      </w:tr>
      <w:tr>
        <w:trPr>
          <w:trHeight w:val="42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7</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场地准备费及临时设施费</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25.56</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25.56</w:t>
            </w:r>
          </w:p>
        </w:tc>
        <w:tc>
          <w:tcPr>
            <w:tcW w:w="383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18"/>
                <w:szCs w:val="18"/>
              </w:rPr>
            </w:pPr>
          </w:p>
        </w:tc>
      </w:tr>
      <w:tr>
        <w:trPr>
          <w:trHeight w:val="42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8</w:t>
            </w:r>
          </w:p>
        </w:tc>
        <w:tc>
          <w:tcPr>
            <w:tcW w:w="3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工程保险费</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bCs/>
                <w:i w:val="false"/>
                <w:iCs w:val="false"/>
                <w:color w:val="FF0000"/>
                <w:sz w:val="18"/>
                <w:szCs w:val="18"/>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bCs/>
                <w:i w:val="false"/>
                <w:iCs w:val="false"/>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bCs/>
                <w:i w:val="false"/>
                <w:iCs w:val="false"/>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18.26</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18.26</w:t>
            </w:r>
          </w:p>
        </w:tc>
        <w:tc>
          <w:tcPr>
            <w:tcW w:w="383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18"/>
                <w:szCs w:val="18"/>
              </w:rPr>
            </w:pPr>
          </w:p>
        </w:tc>
      </w:tr>
      <w:tr>
        <w:trPr>
          <w:trHeight w:val="42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9</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招标代理服务费</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7.30</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7.30</w:t>
            </w:r>
          </w:p>
        </w:tc>
        <w:tc>
          <w:tcPr>
            <w:tcW w:w="383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18"/>
                <w:szCs w:val="18"/>
              </w:rPr>
            </w:pPr>
          </w:p>
        </w:tc>
      </w:tr>
      <w:tr>
        <w:trPr>
          <w:trHeight w:val="42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10</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造价咨询费</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10.95</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10.95</w:t>
            </w:r>
          </w:p>
        </w:tc>
        <w:tc>
          <w:tcPr>
            <w:tcW w:w="383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18"/>
                <w:szCs w:val="18"/>
              </w:rPr>
            </w:pPr>
          </w:p>
        </w:tc>
      </w:tr>
      <w:tr>
        <w:trPr>
          <w:trHeight w:val="42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FF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三</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预备费</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192.63</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192.63</w:t>
            </w:r>
          </w:p>
        </w:tc>
        <w:tc>
          <w:tcPr>
            <w:tcW w:w="383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sz w:val="18"/>
                <w:szCs w:val="18"/>
              </w:rPr>
            </w:pPr>
            <w:r>
              <w:rPr>
                <w:rFonts w:hint="eastAsia" w:ascii="宋体" w:hAnsi="宋体" w:eastAsia="宋体" w:cs="宋体"/>
                <w:b/>
                <w:bCs/>
                <w:i w:val="false"/>
                <w:iCs w:val="false"/>
                <w:snapToGrid w:val="false"/>
                <w:color w:val="000000"/>
                <w:kern w:val="0"/>
                <w:sz w:val="18"/>
                <w:szCs w:val="18"/>
                <w:u w:val="none"/>
                <w:lang w:val="en-US" w:eastAsia="zh-CN" w:bidi="ar"/>
              </w:rPr>
              <w:t>4.71%</w:t>
            </w:r>
          </w:p>
        </w:tc>
      </w:tr>
      <w:tr>
        <w:trPr>
          <w:trHeight w:val="42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3.1</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基本预备费</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192.63</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192.63</w:t>
            </w:r>
          </w:p>
        </w:tc>
        <w:tc>
          <w:tcPr>
            <w:tcW w:w="383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sz w:val="18"/>
                <w:szCs w:val="18"/>
              </w:rPr>
            </w:pPr>
            <w:r>
              <w:rPr>
                <w:rFonts w:hint="eastAsia" w:ascii="宋体" w:hAnsi="宋体" w:eastAsia="宋体" w:cs="宋体"/>
                <w:i w:val="false"/>
                <w:iCs w:val="false"/>
                <w:snapToGrid w:val="false"/>
                <w:color w:val="000000"/>
                <w:kern w:val="0"/>
                <w:sz w:val="18"/>
                <w:szCs w:val="18"/>
                <w:u w:val="none"/>
                <w:lang w:val="en-US" w:eastAsia="zh-CN" w:bidi="ar"/>
              </w:rPr>
              <w:t>（一+二）*5%</w:t>
            </w:r>
          </w:p>
        </w:tc>
      </w:tr>
      <w:tr>
        <w:trPr>
          <w:trHeight w:val="42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3.2</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涨价预备费</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383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18"/>
                <w:szCs w:val="18"/>
              </w:rPr>
            </w:pPr>
          </w:p>
        </w:tc>
      </w:tr>
      <w:tr>
        <w:trPr>
          <w:trHeight w:val="42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四</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建设投资合计</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97.87</w:t>
            </w: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332.31</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3220.94</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394.05</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4045.17</w:t>
            </w:r>
          </w:p>
        </w:tc>
        <w:tc>
          <w:tcPr>
            <w:tcW w:w="383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sz w:val="18"/>
                <w:szCs w:val="18"/>
              </w:rPr>
            </w:pPr>
            <w:r>
              <w:rPr>
                <w:rFonts w:hint="eastAsia" w:ascii="宋体" w:hAnsi="宋体" w:eastAsia="宋体" w:cs="宋体"/>
                <w:b/>
                <w:bCs/>
                <w:i w:val="false"/>
                <w:iCs w:val="false"/>
                <w:snapToGrid w:val="false"/>
                <w:color w:val="000000"/>
                <w:kern w:val="0"/>
                <w:sz w:val="18"/>
                <w:szCs w:val="18"/>
                <w:u w:val="none"/>
                <w:lang w:val="en-US" w:eastAsia="zh-CN" w:bidi="ar"/>
              </w:rPr>
              <w:t>99.01%</w:t>
            </w:r>
          </w:p>
        </w:tc>
      </w:tr>
      <w:tr>
        <w:trPr>
          <w:trHeight w:val="42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false"/>
                <w:iCs w:val="false"/>
                <w:color w:val="FF0000"/>
                <w:sz w:val="18"/>
                <w:szCs w:val="18"/>
                <w:u w:val="none"/>
              </w:rPr>
            </w:pPr>
          </w:p>
        </w:tc>
        <w:tc>
          <w:tcPr>
            <w:tcW w:w="30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比例（%）</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2%</w:t>
            </w:r>
          </w:p>
        </w:tc>
        <w:tc>
          <w:tcPr>
            <w:tcW w:w="11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8%</w:t>
            </w:r>
          </w:p>
        </w:tc>
        <w:tc>
          <w:tcPr>
            <w:tcW w:w="12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80%</w:t>
            </w:r>
          </w:p>
        </w:tc>
        <w:tc>
          <w:tcPr>
            <w:tcW w:w="12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10%</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100%</w:t>
            </w:r>
          </w:p>
        </w:tc>
        <w:tc>
          <w:tcPr>
            <w:tcW w:w="383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18"/>
                <w:szCs w:val="18"/>
              </w:rPr>
            </w:pPr>
          </w:p>
        </w:tc>
      </w:tr>
      <w:tr>
        <w:trPr>
          <w:trHeight w:val="42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五</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建设期利息</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40.32</w:t>
            </w:r>
          </w:p>
        </w:tc>
        <w:tc>
          <w:tcPr>
            <w:tcW w:w="383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sz w:val="18"/>
                <w:szCs w:val="18"/>
              </w:rPr>
            </w:pPr>
            <w:r>
              <w:rPr>
                <w:rFonts w:hint="eastAsia" w:ascii="宋体" w:hAnsi="宋体" w:eastAsia="宋体" w:cs="宋体"/>
                <w:b/>
                <w:bCs/>
                <w:i w:val="false"/>
                <w:iCs w:val="false"/>
                <w:snapToGrid w:val="false"/>
                <w:color w:val="000000"/>
                <w:kern w:val="0"/>
                <w:sz w:val="18"/>
                <w:szCs w:val="18"/>
                <w:u w:val="none"/>
                <w:lang w:val="en-US" w:eastAsia="zh-CN" w:bidi="ar"/>
              </w:rPr>
              <w:t>0.99%</w:t>
            </w:r>
          </w:p>
        </w:tc>
      </w:tr>
      <w:tr>
        <w:trPr>
          <w:trHeight w:val="42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六</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固定资产投资</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4085.49</w:t>
            </w:r>
          </w:p>
        </w:tc>
        <w:tc>
          <w:tcPr>
            <w:tcW w:w="383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sz w:val="18"/>
                <w:szCs w:val="18"/>
              </w:rPr>
            </w:pPr>
            <w:r>
              <w:rPr>
                <w:rFonts w:hint="eastAsia" w:ascii="宋体" w:hAnsi="宋体" w:eastAsia="宋体" w:cs="宋体"/>
                <w:b/>
                <w:bCs/>
                <w:i w:val="false"/>
                <w:iCs w:val="false"/>
                <w:snapToGrid w:val="false"/>
                <w:color w:val="000000"/>
                <w:kern w:val="0"/>
                <w:sz w:val="18"/>
                <w:szCs w:val="18"/>
                <w:u w:val="none"/>
                <w:lang w:val="en-US" w:eastAsia="zh-CN" w:bidi="ar"/>
              </w:rPr>
              <w:t>100.00%</w:t>
            </w:r>
          </w:p>
        </w:tc>
      </w:tr>
      <w:tr>
        <w:trPr>
          <w:trHeight w:val="420"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snapToGrid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七</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项目总投资</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4085.49</w:t>
            </w:r>
          </w:p>
        </w:tc>
        <w:tc>
          <w:tcPr>
            <w:tcW w:w="383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sz w:val="18"/>
                <w:szCs w:val="18"/>
              </w:rPr>
            </w:pPr>
            <w:r>
              <w:rPr>
                <w:rFonts w:hint="eastAsia" w:ascii="宋体" w:hAnsi="宋体" w:eastAsia="宋体" w:cs="宋体"/>
                <w:b/>
                <w:bCs/>
                <w:i w:val="false"/>
                <w:iCs w:val="false"/>
                <w:snapToGrid w:val="false"/>
                <w:color w:val="000000"/>
                <w:kern w:val="0"/>
                <w:sz w:val="18"/>
                <w:szCs w:val="18"/>
                <w:u w:val="none"/>
                <w:lang w:val="en-US" w:eastAsia="zh-CN" w:bidi="ar"/>
              </w:rPr>
              <w:t>100.00%</w:t>
            </w:r>
          </w:p>
        </w:tc>
      </w:tr>
    </w:tbl>
    <w:p>
      <w:pPr>
        <w:rPr>
          <w:rFonts w:hint="default" w:ascii="宋体" w:hAnsi="宋体" w:eastAsia="宋体" w:cs="宋体"/>
          <w:b/>
          <w:bCs/>
          <w:i w:val="false"/>
          <w:iCs w:val="false"/>
          <w:color w:val="FF0000"/>
          <w:kern w:val="0"/>
          <w:sz w:val="28"/>
          <w:szCs w:val="28"/>
          <w:u w:val="none"/>
          <w:lang w:val="en-US" w:eastAsia="zh-CN"/>
        </w:rPr>
      </w:pPr>
    </w:p>
    <w:p>
      <w:pPr>
        <w:rPr/>
      </w:pPr>
    </w:p>
    <w:p>
      <w:pPr>
        <w:rPr/>
      </w:pPr>
    </w:p>
    <w:p>
      <w:pPr>
        <w:rPr/>
      </w:pPr>
    </w:p>
    <w:p>
      <w:pPr>
        <w:sectPr>
          <w:pgSz w:w="16838" w:h="11906" w:orient="landscape"/>
          <w:pgMar w:top="1610" w:right="1440" w:bottom="1134" w:left="1440" w:header="851" w:footer="992" w:gutter="0"/>
          <w:pgBorders>
            <w:top w:val="none" w:sz="0" w:space="0"/>
            <w:left w:val="none" w:sz="0" w:space="0"/>
            <w:bottom w:val="none" w:sz="0" w:space="0"/>
            <w:right w:val="none" w:sz="0" w:space="0"/>
          </w:pgBorders>
          <w:pgNumType w:fmt="decimal"/>
          <w:cols w:space="425" w:num="1"/>
          <w:docGrid w:type="lines" w:linePitch="312" w:charSpace="0"/>
        </w:sectPr>
      </w:pPr>
    </w:p>
    <w:bookmarkStart w:id="133" w:name="_Toc13313"/>
    <w:bookmarkStart w:id="134" w:name="_Toc7389"/>
    <w:bookmarkStart w:id="135" w:name="_Toc19365"/>
    <w:p>
      <w:pPr>
        <w:keepNext w:val="false"/>
        <w:keepLines w:val="false"/>
        <w:pageBreakBefore w:val="false"/>
        <w:widowControl/>
        <w:kinsoku w:val="false"/>
        <w:wordWrap/>
        <w:overflowPunct/>
        <w:topLinePunct w:val="false"/>
        <w:autoSpaceDE w:val="false"/>
        <w:autoSpaceDN w:val="false"/>
        <w:bidi w:val="false"/>
        <w:adjustRightInd w:val="false"/>
        <w:snapToGrid w:val="false"/>
        <w:spacing w:line="360" w:lineRule="auto"/>
        <w:textAlignment w:val="baseline"/>
        <w:outlineLvl w:val="0"/>
        <w:rPr>
          <w:rFonts w:hint="eastAsia" w:ascii="宋体" w:hAnsi="宋体" w:eastAsia="宋体" w:cs="宋体"/>
          <w:b/>
          <w:bCs/>
          <w:i w:val="false"/>
          <w:iCs w:val="false"/>
          <w:color w:val="auto"/>
          <w:kern w:val="0"/>
          <w:sz w:val="28"/>
          <w:szCs w:val="28"/>
          <w:u w:val="none"/>
          <w:lang w:val="en-US" w:eastAsia="zh-CN"/>
        </w:rPr>
      </w:pPr>
      <w:r>
        <w:rPr>
          <w:rFonts w:hint="eastAsia" w:ascii="宋体" w:hAnsi="宋体" w:eastAsia="宋体" w:cs="宋体"/>
          <w:b/>
          <w:bCs/>
          <w:i w:val="false"/>
          <w:iCs w:val="false"/>
          <w:color w:val="auto"/>
          <w:kern w:val="0"/>
          <w:sz w:val="28"/>
          <w:szCs w:val="28"/>
          <w:u w:val="none"/>
          <w:lang w:val="en-US" w:eastAsia="zh-CN"/>
        </w:rPr>
        <w:t>附表2：固定资产折旧表</w:t>
      </w:r>
      <w:bookmarkEnd w:id="133"/>
      <w:bookmarkEnd w:id="134"/>
      <w:bookmarkEnd w:id="135"/>
    </w:p>
    <w:tbl>
      <w:tblPr>
        <w:tblStyle w:val="00000a"/>
        <w:tblW w:w="0" w:type="auto"/>
        <w:tblInd w:w="11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42"/>
        <w:gridCol w:w="1802"/>
        <w:gridCol w:w="1272"/>
        <w:gridCol w:w="946"/>
        <w:gridCol w:w="960"/>
        <w:gridCol w:w="1378"/>
        <w:gridCol w:w="1378"/>
        <w:gridCol w:w="1378"/>
        <w:gridCol w:w="1378"/>
        <w:gridCol w:w="1378"/>
        <w:gridCol w:w="1381"/>
      </w:tblGrid>
      <w:tr>
        <w:trPr>
          <w:trHeight w:val="270" w:hRule="atLeast"/>
        </w:trPr>
        <w:tc>
          <w:tcPr>
            <w:tcW w:w="13993" w:type="dxa"/>
            <w:gridSpan w:val="11"/>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jc w:val="right"/>
              <w:textAlignment w:val="center"/>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color w:val="000000"/>
                <w:kern w:val="0"/>
                <w:sz w:val="21"/>
                <w:szCs w:val="21"/>
                <w:u w:val="none"/>
                <w:lang w:val="en-US" w:eastAsia="zh-CN" w:bidi="ar"/>
              </w:rPr>
              <w:t>单位：万元</w:t>
            </w:r>
          </w:p>
        </w:tc>
      </w:tr>
      <w:tr>
        <w:trPr>
          <w:trHeight w:val="420" w:hRule="atLeast"/>
        </w:trPr>
        <w:tc>
          <w:tcPr>
            <w:tcW w:w="742" w:type="dxa"/>
            <w:vMerge w:val="restart"/>
            <w:tcBorders>
              <w:top w:val="single" w:color="000000" w:sz="4" w:space="0"/>
              <w:left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序号</w:t>
            </w:r>
          </w:p>
        </w:tc>
        <w:tc>
          <w:tcPr>
            <w:tcW w:w="1802" w:type="dxa"/>
            <w:vMerge w:val="restart"/>
            <w:tcBorders>
              <w:top w:val="single" w:color="000000" w:sz="4" w:space="0"/>
              <w:left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项目</w:t>
            </w:r>
          </w:p>
        </w:tc>
        <w:tc>
          <w:tcPr>
            <w:tcW w:w="1272" w:type="dxa"/>
            <w:vMerge w:val="restart"/>
            <w:tcBorders>
              <w:top w:val="single" w:color="000000" w:sz="4" w:space="0"/>
              <w:left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合计</w:t>
            </w:r>
          </w:p>
        </w:tc>
        <w:tc>
          <w:tcPr>
            <w:tcW w:w="946" w:type="dxa"/>
            <w:vMerge w:val="restart"/>
            <w:tcBorders>
              <w:top w:val="single" w:color="000000" w:sz="4" w:space="0"/>
              <w:left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残值率</w:t>
            </w:r>
          </w:p>
        </w:tc>
        <w:tc>
          <w:tcPr>
            <w:tcW w:w="960" w:type="dxa"/>
            <w:vMerge w:val="restart"/>
            <w:tcBorders>
              <w:top w:val="single" w:color="000000" w:sz="4" w:space="0"/>
              <w:left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折旧年限</w:t>
            </w:r>
          </w:p>
        </w:tc>
        <w:tc>
          <w:tcPr>
            <w:tcW w:w="8271"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运营期</w:t>
            </w:r>
          </w:p>
        </w:tc>
      </w:tr>
      <w:tr>
        <w:trPr>
          <w:trHeight w:val="507" w:hRule="atLeast"/>
        </w:trPr>
        <w:tc>
          <w:tcPr>
            <w:tcW w:w="742" w:type="dxa"/>
            <w:vMerge w:val="continue"/>
            <w:tcBorders>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1802" w:type="dxa"/>
            <w:vMerge w:val="continue"/>
            <w:tcBorders>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1272" w:type="dxa"/>
            <w:vMerge w:val="continue"/>
            <w:tcBorders>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946" w:type="dxa"/>
            <w:vMerge w:val="continue"/>
            <w:tcBorders>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960" w:type="dxa"/>
            <w:vMerge w:val="continue"/>
            <w:tcBorders>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1378" w:type="dxa"/>
            <w:tcBorders>
              <w:top w:val="nil"/>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0.5</w:t>
            </w:r>
          </w:p>
        </w:tc>
        <w:tc>
          <w:tcPr>
            <w:tcW w:w="1378" w:type="dxa"/>
            <w:tcBorders>
              <w:top w:val="nil"/>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2</w:t>
            </w:r>
          </w:p>
        </w:tc>
        <w:tc>
          <w:tcPr>
            <w:tcW w:w="1378" w:type="dxa"/>
            <w:tcBorders>
              <w:top w:val="nil"/>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3</w:t>
            </w:r>
          </w:p>
        </w:tc>
        <w:tc>
          <w:tcPr>
            <w:tcW w:w="1378" w:type="dxa"/>
            <w:tcBorders>
              <w:top w:val="nil"/>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4</w:t>
            </w:r>
          </w:p>
        </w:tc>
        <w:tc>
          <w:tcPr>
            <w:tcW w:w="1378" w:type="dxa"/>
            <w:tcBorders>
              <w:top w:val="nil"/>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5</w:t>
            </w:r>
          </w:p>
        </w:tc>
        <w:tc>
          <w:tcPr>
            <w:tcW w:w="1381" w:type="dxa"/>
            <w:tcBorders>
              <w:top w:val="nil"/>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6</w:t>
            </w:r>
          </w:p>
        </w:tc>
      </w:tr>
      <w:tr>
        <w:trPr>
          <w:trHeight w:val="420" w:hRule="atLeast"/>
        </w:trPr>
        <w:tc>
          <w:tcPr>
            <w:tcW w:w="7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w:t>
            </w:r>
          </w:p>
        </w:tc>
        <w:tc>
          <w:tcPr>
            <w:tcW w:w="1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附属物及设备折旧</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0.05</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20</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r>
      <w:tr>
        <w:trPr>
          <w:trHeight w:val="420" w:hRule="atLeast"/>
        </w:trPr>
        <w:tc>
          <w:tcPr>
            <w:tcW w:w="7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w:t>
            </w:r>
          </w:p>
        </w:tc>
        <w:tc>
          <w:tcPr>
            <w:tcW w:w="1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原值</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3681.11</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3593.68</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3418.83</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3243.98</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3069.12</w:t>
            </w:r>
          </w:p>
        </w:tc>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2894.27</w:t>
            </w:r>
          </w:p>
        </w:tc>
      </w:tr>
      <w:tr>
        <w:trPr>
          <w:trHeight w:val="420" w:hRule="atLeast"/>
        </w:trPr>
        <w:tc>
          <w:tcPr>
            <w:tcW w:w="7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w:t>
            </w:r>
          </w:p>
        </w:tc>
        <w:tc>
          <w:tcPr>
            <w:tcW w:w="1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当期折旧额</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2010.80</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87.43</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174.85</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174.85</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174.85</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174.85</w:t>
            </w:r>
          </w:p>
        </w:tc>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174.85</w:t>
            </w:r>
          </w:p>
        </w:tc>
      </w:tr>
      <w:tr>
        <w:trPr>
          <w:trHeight w:val="420" w:hRule="atLeast"/>
        </w:trPr>
        <w:tc>
          <w:tcPr>
            <w:tcW w:w="7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w:t>
            </w:r>
          </w:p>
        </w:tc>
        <w:tc>
          <w:tcPr>
            <w:tcW w:w="1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净值</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3593.68</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3418.83</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3243.98</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3069.12</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2894.27</w:t>
            </w:r>
          </w:p>
        </w:tc>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2719.42</w:t>
            </w:r>
          </w:p>
        </w:tc>
      </w:tr>
      <w:tr>
        <w:trPr>
          <w:trHeight w:val="420" w:hRule="atLeast"/>
        </w:trPr>
        <w:tc>
          <w:tcPr>
            <w:tcW w:w="7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w:t>
            </w:r>
          </w:p>
        </w:tc>
        <w:tc>
          <w:tcPr>
            <w:tcW w:w="1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折旧费</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2010.80</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87.43</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174.85</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174.85</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174.85</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174.85</w:t>
            </w:r>
          </w:p>
        </w:tc>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174.85</w:t>
            </w:r>
          </w:p>
        </w:tc>
      </w:tr>
      <w:tr>
        <w:trPr>
          <w:trHeight w:val="420" w:hRule="atLeast"/>
        </w:trPr>
        <w:tc>
          <w:tcPr>
            <w:tcW w:w="7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w:t>
            </w:r>
          </w:p>
        </w:tc>
        <w:tc>
          <w:tcPr>
            <w:tcW w:w="1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无形资产摊销</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r>
      <w:tr>
        <w:trPr>
          <w:trHeight w:val="420" w:hRule="atLeast"/>
        </w:trPr>
        <w:tc>
          <w:tcPr>
            <w:tcW w:w="7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3.1</w:t>
            </w:r>
          </w:p>
        </w:tc>
        <w:tc>
          <w:tcPr>
            <w:tcW w:w="1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原值</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r>
      <w:tr>
        <w:trPr>
          <w:trHeight w:val="420" w:hRule="atLeast"/>
        </w:trPr>
        <w:tc>
          <w:tcPr>
            <w:tcW w:w="7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3.2</w:t>
            </w:r>
          </w:p>
        </w:tc>
        <w:tc>
          <w:tcPr>
            <w:tcW w:w="1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当期折旧额</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r>
      <w:tr>
        <w:trPr>
          <w:trHeight w:val="420" w:hRule="atLeast"/>
        </w:trPr>
        <w:tc>
          <w:tcPr>
            <w:tcW w:w="7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3.3</w:t>
            </w:r>
          </w:p>
        </w:tc>
        <w:tc>
          <w:tcPr>
            <w:tcW w:w="1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净值</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r>
    </w:tbl>
    <w:p>
      <w:pPr>
        <w:rPr>
          <w:rFonts w:hint="default" w:eastAsiaTheme="minorEastAsia"/>
          <w:lang w:val="en-US" w:eastAsia="zh-CN"/>
        </w:rPr>
      </w:pPr>
      <w:r>
        <w:rPr>
          <w:rFonts w:hint="default" w:eastAsiaTheme="minorEastAsia"/>
          <w:lang w:val="en-US" w:eastAsia="zh-CN"/>
        </w:rPr>
        <w:br w:type="page"/>
      </w:r>
    </w:p>
    <w:p>
      <w:pPr>
        <w:keepNext w:val="false"/>
        <w:keepLines w:val="false"/>
        <w:pageBreakBefore w:val="false"/>
        <w:widowControl/>
        <w:kinsoku w:val="false"/>
        <w:wordWrap/>
        <w:overflowPunct/>
        <w:topLinePunct w:val="false"/>
        <w:autoSpaceDE w:val="false"/>
        <w:autoSpaceDN w:val="false"/>
        <w:bidi w:val="false"/>
        <w:adjustRightInd w:val="false"/>
        <w:snapToGrid w:val="false"/>
        <w:spacing w:line="360" w:lineRule="auto"/>
        <w:textAlignment w:val="baseline"/>
        <w:outlineLvl w:val="9"/>
        <w:rPr>
          <w:rFonts w:hint="eastAsia" w:ascii="宋体" w:hAnsi="宋体" w:eastAsia="宋体" w:cs="宋体"/>
          <w:b/>
          <w:bCs/>
          <w:i w:val="false"/>
          <w:iCs w:val="false"/>
          <w:color w:val="auto"/>
          <w:kern w:val="0"/>
          <w:sz w:val="28"/>
          <w:szCs w:val="28"/>
          <w:u w:val="none"/>
          <w:lang w:val="en-US" w:eastAsia="zh-CN"/>
        </w:rPr>
      </w:pPr>
      <w:r>
        <w:rPr>
          <w:rFonts w:hint="eastAsia" w:ascii="宋体" w:hAnsi="宋体" w:eastAsia="宋体" w:cs="宋体"/>
          <w:b/>
          <w:bCs/>
          <w:i w:val="false"/>
          <w:iCs w:val="false"/>
          <w:color w:val="auto"/>
          <w:kern w:val="0"/>
          <w:sz w:val="28"/>
          <w:szCs w:val="28"/>
          <w:u w:val="none"/>
          <w:lang w:val="en-US" w:eastAsia="zh-CN"/>
        </w:rPr>
        <w:t>附表2：固定资产折旧表</w:t>
      </w:r>
    </w:p>
    <w:tbl>
      <w:tblPr>
        <w:tblStyle w:val="00000a"/>
        <w:tblW w:w="0" w:type="auto"/>
        <w:tblInd w:w="11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42"/>
        <w:gridCol w:w="1802"/>
        <w:gridCol w:w="1272"/>
        <w:gridCol w:w="991"/>
        <w:gridCol w:w="975"/>
        <w:gridCol w:w="1368"/>
        <w:gridCol w:w="1368"/>
        <w:gridCol w:w="1368"/>
        <w:gridCol w:w="1368"/>
        <w:gridCol w:w="1368"/>
        <w:gridCol w:w="1371"/>
      </w:tblGrid>
      <w:tr>
        <w:trPr>
          <w:trHeight w:val="270" w:hRule="atLeast"/>
        </w:trPr>
        <w:tc>
          <w:tcPr>
            <w:tcW w:w="13993" w:type="dxa"/>
            <w:gridSpan w:val="11"/>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jc w:val="right"/>
              <w:textAlignment w:val="center"/>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color w:val="000000"/>
                <w:kern w:val="0"/>
                <w:sz w:val="21"/>
                <w:szCs w:val="21"/>
                <w:u w:val="none"/>
                <w:lang w:val="en-US" w:eastAsia="zh-CN" w:bidi="ar"/>
              </w:rPr>
              <w:t>单位：万元</w:t>
            </w:r>
          </w:p>
        </w:tc>
      </w:tr>
      <w:tr>
        <w:trPr>
          <w:trHeight w:val="420" w:hRule="atLeast"/>
        </w:trPr>
        <w:tc>
          <w:tcPr>
            <w:tcW w:w="742" w:type="dxa"/>
            <w:vMerge w:val="restart"/>
            <w:tcBorders>
              <w:top w:val="single" w:color="000000" w:sz="4" w:space="0"/>
              <w:left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序号</w:t>
            </w:r>
          </w:p>
        </w:tc>
        <w:tc>
          <w:tcPr>
            <w:tcW w:w="1802" w:type="dxa"/>
            <w:vMerge w:val="restart"/>
            <w:tcBorders>
              <w:top w:val="single" w:color="000000" w:sz="4" w:space="0"/>
              <w:left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项目</w:t>
            </w:r>
          </w:p>
        </w:tc>
        <w:tc>
          <w:tcPr>
            <w:tcW w:w="1272" w:type="dxa"/>
            <w:vMerge w:val="restart"/>
            <w:tcBorders>
              <w:top w:val="single" w:color="000000" w:sz="4" w:space="0"/>
              <w:left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合计</w:t>
            </w:r>
          </w:p>
        </w:tc>
        <w:tc>
          <w:tcPr>
            <w:tcW w:w="991" w:type="dxa"/>
            <w:vMerge w:val="restart"/>
            <w:tcBorders>
              <w:top w:val="single" w:color="000000" w:sz="4" w:space="0"/>
              <w:left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残值率</w:t>
            </w:r>
          </w:p>
        </w:tc>
        <w:tc>
          <w:tcPr>
            <w:tcW w:w="975" w:type="dxa"/>
            <w:vMerge w:val="restart"/>
            <w:tcBorders>
              <w:top w:val="single" w:color="000000" w:sz="4" w:space="0"/>
              <w:left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折旧年限</w:t>
            </w:r>
          </w:p>
        </w:tc>
        <w:tc>
          <w:tcPr>
            <w:tcW w:w="8211"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运营期</w:t>
            </w:r>
          </w:p>
        </w:tc>
      </w:tr>
      <w:tr>
        <w:trPr>
          <w:trHeight w:val="462" w:hRule="atLeast"/>
        </w:trPr>
        <w:tc>
          <w:tcPr>
            <w:tcW w:w="742" w:type="dxa"/>
            <w:vMerge w:val="continue"/>
            <w:tcBorders>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1802" w:type="dxa"/>
            <w:vMerge w:val="continue"/>
            <w:tcBorders>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1272" w:type="dxa"/>
            <w:vMerge w:val="continue"/>
            <w:tcBorders>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991" w:type="dxa"/>
            <w:vMerge w:val="continue"/>
            <w:tcBorders>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975" w:type="dxa"/>
            <w:vMerge w:val="continue"/>
            <w:tcBorders>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1368" w:type="dxa"/>
            <w:tcBorders>
              <w:top w:val="nil"/>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7</w:t>
            </w:r>
          </w:p>
        </w:tc>
        <w:tc>
          <w:tcPr>
            <w:tcW w:w="1368" w:type="dxa"/>
            <w:tcBorders>
              <w:top w:val="nil"/>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8</w:t>
            </w:r>
          </w:p>
        </w:tc>
        <w:tc>
          <w:tcPr>
            <w:tcW w:w="1368" w:type="dxa"/>
            <w:tcBorders>
              <w:top w:val="nil"/>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9</w:t>
            </w:r>
          </w:p>
        </w:tc>
        <w:tc>
          <w:tcPr>
            <w:tcW w:w="1368" w:type="dxa"/>
            <w:tcBorders>
              <w:top w:val="nil"/>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10</w:t>
            </w:r>
          </w:p>
        </w:tc>
        <w:tc>
          <w:tcPr>
            <w:tcW w:w="1368" w:type="dxa"/>
            <w:tcBorders>
              <w:top w:val="nil"/>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11</w:t>
            </w:r>
          </w:p>
        </w:tc>
        <w:tc>
          <w:tcPr>
            <w:tcW w:w="1371" w:type="dxa"/>
            <w:tcBorders>
              <w:top w:val="nil"/>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12</w:t>
            </w:r>
          </w:p>
        </w:tc>
      </w:tr>
      <w:tr>
        <w:trPr>
          <w:trHeight w:val="420" w:hRule="atLeast"/>
        </w:trPr>
        <w:tc>
          <w:tcPr>
            <w:tcW w:w="7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w:t>
            </w:r>
          </w:p>
        </w:tc>
        <w:tc>
          <w:tcPr>
            <w:tcW w:w="1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附属物及设备折旧</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0.05</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20</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7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r>
      <w:tr>
        <w:trPr>
          <w:trHeight w:val="420" w:hRule="atLeast"/>
        </w:trPr>
        <w:tc>
          <w:tcPr>
            <w:tcW w:w="7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w:t>
            </w:r>
          </w:p>
        </w:tc>
        <w:tc>
          <w:tcPr>
            <w:tcW w:w="1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原值</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2719.42</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2544.57</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2369.71</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2194.86</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2020.01</w:t>
            </w:r>
          </w:p>
        </w:tc>
        <w:tc>
          <w:tcPr>
            <w:tcW w:w="13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1845.15</w:t>
            </w:r>
          </w:p>
        </w:tc>
      </w:tr>
      <w:tr>
        <w:trPr>
          <w:trHeight w:val="420" w:hRule="atLeast"/>
        </w:trPr>
        <w:tc>
          <w:tcPr>
            <w:tcW w:w="7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w:t>
            </w:r>
          </w:p>
        </w:tc>
        <w:tc>
          <w:tcPr>
            <w:tcW w:w="1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当期折旧额</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2010.80</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174.85</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174.85</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174.85</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174.85</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174.85</w:t>
            </w:r>
          </w:p>
        </w:tc>
        <w:tc>
          <w:tcPr>
            <w:tcW w:w="13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174.85</w:t>
            </w:r>
          </w:p>
        </w:tc>
      </w:tr>
      <w:tr>
        <w:trPr>
          <w:trHeight w:val="420" w:hRule="atLeast"/>
        </w:trPr>
        <w:tc>
          <w:tcPr>
            <w:tcW w:w="7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w:t>
            </w:r>
          </w:p>
        </w:tc>
        <w:tc>
          <w:tcPr>
            <w:tcW w:w="1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净值</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2544.57</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2369.71</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2194.86</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2020.01</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1845.15</w:t>
            </w:r>
          </w:p>
        </w:tc>
        <w:tc>
          <w:tcPr>
            <w:tcW w:w="13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1670.30</w:t>
            </w:r>
          </w:p>
        </w:tc>
      </w:tr>
      <w:tr>
        <w:trPr>
          <w:trHeight w:val="420" w:hRule="atLeast"/>
        </w:trPr>
        <w:tc>
          <w:tcPr>
            <w:tcW w:w="7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w:t>
            </w:r>
          </w:p>
        </w:tc>
        <w:tc>
          <w:tcPr>
            <w:tcW w:w="1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折旧费</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2010.80</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174.85</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174.85</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174.85</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174.85</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174.85</w:t>
            </w:r>
          </w:p>
        </w:tc>
        <w:tc>
          <w:tcPr>
            <w:tcW w:w="13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174.85</w:t>
            </w:r>
          </w:p>
        </w:tc>
      </w:tr>
      <w:tr>
        <w:trPr>
          <w:trHeight w:val="420" w:hRule="atLeast"/>
        </w:trPr>
        <w:tc>
          <w:tcPr>
            <w:tcW w:w="7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w:t>
            </w:r>
          </w:p>
        </w:tc>
        <w:tc>
          <w:tcPr>
            <w:tcW w:w="1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无形资产摊销</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7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r>
      <w:tr>
        <w:trPr>
          <w:trHeight w:val="420" w:hRule="atLeast"/>
        </w:trPr>
        <w:tc>
          <w:tcPr>
            <w:tcW w:w="7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3.1</w:t>
            </w:r>
          </w:p>
        </w:tc>
        <w:tc>
          <w:tcPr>
            <w:tcW w:w="1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原值</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7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r>
      <w:tr>
        <w:trPr>
          <w:trHeight w:val="420" w:hRule="atLeast"/>
        </w:trPr>
        <w:tc>
          <w:tcPr>
            <w:tcW w:w="7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3.2</w:t>
            </w:r>
          </w:p>
        </w:tc>
        <w:tc>
          <w:tcPr>
            <w:tcW w:w="1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当期折旧额</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7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r>
      <w:tr>
        <w:trPr>
          <w:trHeight w:val="420" w:hRule="atLeast"/>
        </w:trPr>
        <w:tc>
          <w:tcPr>
            <w:tcW w:w="7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3.3</w:t>
            </w:r>
          </w:p>
        </w:tc>
        <w:tc>
          <w:tcPr>
            <w:tcW w:w="1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净值</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7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r>
    </w:tbl>
    <w:p>
      <w:pPr>
        <w:ind w:left="0" w:leftChars="0" w:firstLine="0" w:firstLineChars="0"/>
        <w:rPr>
          <w:rFonts w:hint="default" w:eastAsiaTheme="minorEastAsia"/>
          <w:lang w:val="en-US" w:eastAsia="zh-CN"/>
        </w:rPr>
      </w:pPr>
      <w:r>
        <w:rPr>
          <w:rFonts w:hint="default" w:eastAsiaTheme="minorEastAsia"/>
          <w:lang w:val="en-US" w:eastAsia="zh-CN"/>
        </w:rPr>
        <w:br w:type="page"/>
      </w:r>
    </w:p>
    <w:bookmarkStart w:id="136" w:name="_Toc13398"/>
    <w:bookmarkStart w:id="137" w:name="_Toc16695"/>
    <w:bookmarkStart w:id="138" w:name="_Toc10373"/>
    <w:p>
      <w:pPr>
        <w:keepNext w:val="false"/>
        <w:keepLines w:val="false"/>
        <w:pageBreakBefore w:val="false"/>
        <w:widowControl/>
        <w:kinsoku w:val="false"/>
        <w:wordWrap/>
        <w:overflowPunct/>
        <w:topLinePunct w:val="false"/>
        <w:autoSpaceDE w:val="false"/>
        <w:autoSpaceDN w:val="false"/>
        <w:bidi w:val="false"/>
        <w:adjustRightInd w:val="false"/>
        <w:snapToGrid w:val="false"/>
        <w:spacing w:line="360" w:lineRule="auto"/>
        <w:textAlignment w:val="baseline"/>
        <w:outlineLvl w:val="0"/>
        <w:rPr>
          <w:rFonts w:hint="eastAsia" w:ascii="宋体" w:hAnsi="宋体" w:eastAsia="宋体" w:cs="宋体"/>
          <w:b/>
          <w:bCs/>
          <w:i w:val="false"/>
          <w:iCs w:val="false"/>
          <w:color w:val="auto"/>
          <w:kern w:val="0"/>
          <w:sz w:val="28"/>
          <w:szCs w:val="28"/>
          <w:u w:val="none"/>
          <w:lang w:val="en-US" w:eastAsia="zh-CN"/>
        </w:rPr>
      </w:pPr>
      <w:r>
        <w:rPr>
          <w:rFonts w:hint="eastAsia" w:ascii="宋体" w:hAnsi="宋体" w:eastAsia="宋体" w:cs="宋体"/>
          <w:b/>
          <w:bCs/>
          <w:i w:val="false"/>
          <w:iCs w:val="false"/>
          <w:color w:val="auto"/>
          <w:kern w:val="0"/>
          <w:sz w:val="28"/>
          <w:szCs w:val="28"/>
          <w:u w:val="none"/>
          <w:lang w:val="en-US" w:eastAsia="zh-CN"/>
        </w:rPr>
        <w:t>附表3：营业收入及税金表</w:t>
      </w:r>
      <w:bookmarkEnd w:id="136"/>
      <w:bookmarkEnd w:id="137"/>
      <w:bookmarkEnd w:id="138"/>
    </w:p>
    <w:tbl>
      <w:tblPr>
        <w:tblStyle w:val="00000a"/>
        <w:tblW w:w="0" w:type="auto"/>
        <w:tblInd w:w="11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67"/>
        <w:gridCol w:w="2295"/>
        <w:gridCol w:w="1170"/>
        <w:gridCol w:w="1593"/>
        <w:gridCol w:w="1593"/>
        <w:gridCol w:w="1593"/>
        <w:gridCol w:w="1593"/>
        <w:gridCol w:w="1593"/>
        <w:gridCol w:w="1596"/>
      </w:tblGrid>
      <w:tr>
        <w:trPr>
          <w:trHeight w:val="501" w:hRule="atLeast"/>
          <w:tblHeader/>
        </w:trPr>
        <w:tc>
          <w:tcPr>
            <w:tcW w:w="13993" w:type="dxa"/>
            <w:gridSpan w:val="9"/>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jc w:val="right"/>
              <w:textAlignment w:val="center"/>
              <w:rPr>
                <w:rFonts w:hint="eastAsia" w:ascii="宋体" w:hAnsi="宋体" w:eastAsia="宋体" w:cs="宋体"/>
                <w:i w:val="false"/>
                <w:iCs w:val="false"/>
                <w:color w:val="000000"/>
                <w:kern w:val="0"/>
                <w:sz w:val="21"/>
                <w:szCs w:val="21"/>
                <w:u w:val="none"/>
                <w:lang w:val="en-US" w:eastAsia="zh-CN" w:bidi="ar"/>
              </w:rPr>
            </w:pPr>
            <w:r>
              <w:rPr>
                <w:rFonts w:hint="eastAsia" w:ascii="宋体" w:hAnsi="宋体" w:eastAsia="宋体" w:cs="宋体"/>
                <w:i w:val="false"/>
                <w:iCs w:val="false"/>
                <w:color w:val="000000"/>
                <w:kern w:val="0"/>
                <w:sz w:val="21"/>
                <w:szCs w:val="21"/>
                <w:u w:val="none"/>
                <w:lang w:val="en-US" w:eastAsia="zh-CN" w:bidi="ar"/>
              </w:rPr>
              <w:t>单位：万元</w:t>
            </w:r>
          </w:p>
        </w:tc>
      </w:tr>
      <w:tr>
        <w:trPr>
          <w:trHeight w:val="420" w:hRule="atLeast"/>
          <w:tblHeader/>
        </w:trPr>
        <w:tc>
          <w:tcPr>
            <w:tcW w:w="9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序号</w:t>
            </w:r>
          </w:p>
        </w:tc>
        <w:tc>
          <w:tcPr>
            <w:tcW w:w="22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项目</w:t>
            </w:r>
          </w:p>
        </w:tc>
        <w:tc>
          <w:tcPr>
            <w:tcW w:w="11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合计</w:t>
            </w:r>
          </w:p>
        </w:tc>
        <w:tc>
          <w:tcPr>
            <w:tcW w:w="956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计算期</w:t>
            </w:r>
          </w:p>
        </w:tc>
      </w:tr>
      <w:tr>
        <w:trPr>
          <w:trHeight w:val="420" w:hRule="atLeast"/>
          <w:tblHeader/>
        </w:trPr>
        <w:tc>
          <w:tcPr>
            <w:tcW w:w="9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22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default" w:ascii="宋体" w:hAnsi="宋体" w:eastAsia="宋体" w:cs="宋体"/>
                <w:b/>
                <w:bCs/>
                <w:i w:val="false"/>
                <w:iCs w:val="false"/>
                <w:color w:val="000000"/>
                <w:kern w:val="0"/>
                <w:sz w:val="18"/>
                <w:szCs w:val="18"/>
                <w:u w:val="none"/>
                <w:lang w:val="en-US" w:eastAsia="zh-CN" w:bidi="ar"/>
              </w:rPr>
            </w:pPr>
            <w:r>
              <w:rPr>
                <w:rFonts w:hint="eastAsia" w:ascii="宋体" w:hAnsi="宋体" w:cs="宋体"/>
                <w:b/>
                <w:bCs/>
                <w:i w:val="false"/>
                <w:iCs w:val="false"/>
                <w:color w:val="000000"/>
                <w:kern w:val="0"/>
                <w:sz w:val="18"/>
                <w:szCs w:val="18"/>
                <w:u w:val="none"/>
                <w:lang w:val="en-US" w:eastAsia="zh-CN" w:bidi="ar"/>
              </w:rPr>
              <w:t>0.5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default" w:ascii="宋体" w:hAnsi="宋体" w:eastAsia="宋体" w:cs="宋体"/>
                <w:b/>
                <w:bCs/>
                <w:i w:val="false"/>
                <w:iCs w:val="false"/>
                <w:color w:val="000000"/>
                <w:kern w:val="0"/>
                <w:sz w:val="18"/>
                <w:szCs w:val="18"/>
                <w:u w:val="none"/>
                <w:lang w:val="en-US" w:eastAsia="zh-CN" w:bidi="ar"/>
              </w:rPr>
            </w:pPr>
            <w:r>
              <w:rPr>
                <w:rFonts w:hint="eastAsia" w:ascii="宋体" w:hAnsi="宋体" w:cs="宋体"/>
                <w:b/>
                <w:bCs/>
                <w:i w:val="false"/>
                <w:iCs w:val="false"/>
                <w:color w:val="000000"/>
                <w:kern w:val="0"/>
                <w:sz w:val="18"/>
                <w:szCs w:val="18"/>
                <w:u w:val="none"/>
                <w:lang w:val="en-US" w:eastAsia="zh-CN" w:bidi="ar"/>
              </w:rPr>
              <w:t>2</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3</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4</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5</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6</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1</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营业收入</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6439.39</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291.92</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584.81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585.79</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586.77</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587.76</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587.77</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1.1</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光伏收入</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2218.29</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99.25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197.50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196.52</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195.53</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194.56</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193.58</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1.1.1</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装机容量</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2940.00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2925.30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2910.67</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2896.12</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2881.64</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2867.23</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1.1.2</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衰减值</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0.50%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0.50%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0.50%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0.50%</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0.50%</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1.1.3</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1KW 光伏装机容量平均日发电量</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3.35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3.35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3.35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3.35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3.35</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3.35</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1.1.4</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年发电天数</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180.00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360.00</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360.00</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1.1.5</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工商业用电平均电价</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0.56</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0.56</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0.56</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0.56</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0.56</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0.56</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1.2</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储能收入</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4318.43</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187.76</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375.52</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375.52</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375.52</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375.52</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375.52</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1.2.1</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FF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储能销售电价</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0.61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0.61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0.61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0.61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0.61</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0.61</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1.2.2</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360天一充一放扣能耗（万kwh/n)</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17100.00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17100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17100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17100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17100</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17100</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1.4</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60kw充电桩收入</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242.59</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4.91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11.79</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13.76</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15.72</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17.69</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18.67</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1.4.1</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充电桩数量</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4.00</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4.00</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1.4.2</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充电使用率</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90%</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95%</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1.4.3</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收费标准</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0.65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0.65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0.65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0.65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0.65</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0.65</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1.4.4</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充电桩每小时充电量</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60.00</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60.00</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1.4.5</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充电小时数</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3.50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3.50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3.50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3.50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3.50</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3.50</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1.4.6</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年运营时间</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180.00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360.00</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360.00</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2</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营业税金与附加</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83.01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3.65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7.25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7.25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7.25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7.25</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7.23</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2.1</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营业税</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2.2</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消费税</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false"/>
                <w:iCs w:val="false"/>
                <w:color w:val="000000"/>
                <w:kern w:val="0"/>
                <w:sz w:val="18"/>
                <w:szCs w:val="18"/>
                <w:u w:val="none"/>
                <w:lang w:val="en-US" w:eastAsia="zh-CN" w:bidi="ar"/>
              </w:rPr>
            </w:pP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false"/>
                <w:iCs w:val="false"/>
                <w:color w:val="000000"/>
                <w:kern w:val="0"/>
                <w:sz w:val="18"/>
                <w:szCs w:val="18"/>
                <w:u w:val="none"/>
                <w:lang w:val="en-US" w:eastAsia="zh-CN" w:bidi="ar"/>
              </w:rPr>
            </w:pP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2.3</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城市建设维护税</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48.08</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2.55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5.07</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5.07</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5.07</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5.07</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5.06</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2.4</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教育费附加</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20.61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1.09</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2.17</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2.17</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2.17</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2.17</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2.17</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增值税</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686.85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36.47</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72.49</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72.48</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72.47</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72.46</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72.35</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3.1</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销项税额</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712.61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37.61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75.20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75.19</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75.18</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75.17</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75.10</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3.2</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进项税额</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25.77</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1.13</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2.71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2.71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2.71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2.71</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2.76</w:t>
            </w:r>
          </w:p>
        </w:tc>
      </w:tr>
    </w:tbl>
    <w:p>
      <w:pPr>
        <w:rPr>
          <w:rFonts w:hint="eastAsia" w:ascii="宋体" w:hAnsi="宋体" w:eastAsia="宋体" w:cs="宋体"/>
          <w:color w:val="auto"/>
          <w:sz w:val="28"/>
          <w:szCs w:val="28"/>
        </w:rPr>
      </w:pPr>
      <w:r>
        <w:rPr>
          <w:rFonts w:hint="eastAsia" w:ascii="宋体" w:hAnsi="宋体" w:eastAsia="宋体" w:cs="宋体"/>
          <w:color w:val="auto"/>
          <w:sz w:val="28"/>
          <w:szCs w:val="28"/>
        </w:rPr>
        <w:br w:type="page"/>
      </w:r>
    </w:p>
    <w:p>
      <w:pPr>
        <w:keepNext w:val="false"/>
        <w:keepLines w:val="false"/>
        <w:pageBreakBefore w:val="false"/>
        <w:widowControl/>
        <w:kinsoku w:val="false"/>
        <w:wordWrap/>
        <w:overflowPunct/>
        <w:topLinePunct w:val="false"/>
        <w:autoSpaceDE w:val="false"/>
        <w:autoSpaceDN w:val="false"/>
        <w:bidi w:val="false"/>
        <w:adjustRightInd w:val="false"/>
        <w:snapToGrid w:val="false"/>
        <w:spacing w:line="360" w:lineRule="auto"/>
        <w:textAlignment w:val="baseline"/>
        <w:outlineLvl w:val="9"/>
        <w:rPr>
          <w:rFonts w:hint="eastAsia" w:ascii="宋体" w:hAnsi="宋体" w:eastAsia="宋体" w:cs="宋体"/>
          <w:b/>
          <w:bCs/>
          <w:i w:val="false"/>
          <w:iCs w:val="false"/>
          <w:color w:val="auto"/>
          <w:kern w:val="0"/>
          <w:sz w:val="28"/>
          <w:szCs w:val="28"/>
          <w:u w:val="none"/>
          <w:lang w:val="en-US" w:eastAsia="zh-CN"/>
        </w:rPr>
      </w:pPr>
      <w:r>
        <w:rPr>
          <w:rFonts w:hint="eastAsia" w:ascii="宋体" w:hAnsi="宋体" w:eastAsia="宋体" w:cs="宋体"/>
          <w:b/>
          <w:bCs/>
          <w:i w:val="false"/>
          <w:iCs w:val="false"/>
          <w:color w:val="auto"/>
          <w:kern w:val="0"/>
          <w:sz w:val="28"/>
          <w:szCs w:val="28"/>
          <w:u w:val="none"/>
          <w:lang w:val="en-US" w:eastAsia="zh-CN"/>
        </w:rPr>
        <w:t>附表3：营业收入及税金表</w:t>
      </w:r>
    </w:p>
    <w:tbl>
      <w:tblPr>
        <w:tblStyle w:val="00000a"/>
        <w:tblW w:w="0" w:type="auto"/>
        <w:tblInd w:w="11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67"/>
        <w:gridCol w:w="2295"/>
        <w:gridCol w:w="1170"/>
        <w:gridCol w:w="1593"/>
        <w:gridCol w:w="1593"/>
        <w:gridCol w:w="1593"/>
        <w:gridCol w:w="1593"/>
        <w:gridCol w:w="1593"/>
        <w:gridCol w:w="1596"/>
      </w:tblGrid>
      <w:tr>
        <w:trPr>
          <w:trHeight w:val="501" w:hRule="atLeast"/>
          <w:tblHeader/>
        </w:trPr>
        <w:tc>
          <w:tcPr>
            <w:tcW w:w="13993" w:type="dxa"/>
            <w:gridSpan w:val="9"/>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jc w:val="right"/>
              <w:textAlignment w:val="center"/>
              <w:rPr>
                <w:rFonts w:hint="eastAsia" w:ascii="宋体" w:hAnsi="宋体" w:eastAsia="宋体" w:cs="宋体"/>
                <w:i w:val="false"/>
                <w:iCs w:val="false"/>
                <w:color w:val="000000"/>
                <w:kern w:val="0"/>
                <w:sz w:val="21"/>
                <w:szCs w:val="21"/>
                <w:u w:val="none"/>
                <w:lang w:val="en-US" w:eastAsia="zh-CN" w:bidi="ar"/>
              </w:rPr>
            </w:pPr>
            <w:r>
              <w:rPr>
                <w:rFonts w:hint="eastAsia" w:ascii="宋体" w:hAnsi="宋体" w:eastAsia="宋体" w:cs="宋体"/>
                <w:i w:val="false"/>
                <w:iCs w:val="false"/>
                <w:color w:val="000000"/>
                <w:kern w:val="0"/>
                <w:sz w:val="21"/>
                <w:szCs w:val="21"/>
                <w:u w:val="none"/>
                <w:lang w:val="en-US" w:eastAsia="zh-CN" w:bidi="ar"/>
              </w:rPr>
              <w:t>单位：万元</w:t>
            </w:r>
          </w:p>
        </w:tc>
      </w:tr>
      <w:tr>
        <w:trPr>
          <w:trHeight w:val="420" w:hRule="atLeast"/>
          <w:tblHeader/>
        </w:trPr>
        <w:tc>
          <w:tcPr>
            <w:tcW w:w="9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序号</w:t>
            </w:r>
          </w:p>
        </w:tc>
        <w:tc>
          <w:tcPr>
            <w:tcW w:w="22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项目</w:t>
            </w:r>
          </w:p>
        </w:tc>
        <w:tc>
          <w:tcPr>
            <w:tcW w:w="11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合计</w:t>
            </w:r>
          </w:p>
        </w:tc>
        <w:tc>
          <w:tcPr>
            <w:tcW w:w="956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计算期</w:t>
            </w:r>
          </w:p>
        </w:tc>
      </w:tr>
      <w:tr>
        <w:trPr>
          <w:trHeight w:val="420" w:hRule="atLeast"/>
          <w:tblHeader/>
        </w:trPr>
        <w:tc>
          <w:tcPr>
            <w:tcW w:w="9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22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default"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 xml:space="preserve">7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default"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 xml:space="preserve">8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 xml:space="preserve">9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 xml:space="preserve">10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 xml:space="preserve">11 </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 xml:space="preserve">12 </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1</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营业收入</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6439.39</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586.80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585.84</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584.88</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583.93</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582.98</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582.04</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1.1</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光伏收入</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2218.29</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192.62</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191.65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190.69</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189.74</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188.79</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187.85</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1.1.1</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装机容量</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2852.90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2838.63</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2824.44</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2810.32</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2796.26</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2782.28</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1.1.2</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衰减值</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0.50%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0.50%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0.50%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0.50%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0.50%</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0.50%</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1.1.3</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1KW 光伏装机容量平均日发电量</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3.35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3.35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3.35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3.35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3.35</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3.35</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1.1.4</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年发电天数</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360.00</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360.00</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1.1.5</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工商业用电平均电价</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0.56</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0.56</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0.56</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0.56</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0.56</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0.56</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1.2</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储能收入</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4318.43</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375.52</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375.52</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375.52</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375.52</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375.52</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375.52</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1.2.1</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储能销售电价</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0.61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0.61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0.61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0.61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0.61</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0.61</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1.2.2</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360天一充一放扣能耗（万kwh/n)</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17100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17100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17100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17100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17100</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17100</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1.4</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60kw充电桩收入</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242.59</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18.67</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18.67</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18.67</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18.67</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18.67</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18.67</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1.4.1</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充电桩数量</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4.00</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4.00</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1.4.2</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充电使用率</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0.95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0.95</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0.95</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1.4.3</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收费标准</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0.65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0.65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0.65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0.65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0.65</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0.65</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1.4.4</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充电桩每小时充电量</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60.00</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60.00</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1.4.5</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充电小时数</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3.50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3.50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3.50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3.50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3.50</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3.50</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1.4.6</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年运营时间</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360.00</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360.00</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2</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营业税金与附加</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83.01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7.22</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7.21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7.20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7.18</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7.17</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7.16</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2.1</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营业税</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2.2</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消费税</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false"/>
                <w:iCs w:val="false"/>
                <w:color w:val="000000"/>
                <w:kern w:val="0"/>
                <w:sz w:val="18"/>
                <w:szCs w:val="18"/>
                <w:u w:val="none"/>
                <w:lang w:val="en-US" w:eastAsia="zh-CN" w:bidi="ar"/>
              </w:rPr>
            </w:pP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false"/>
                <w:iCs w:val="false"/>
                <w:color w:val="000000"/>
                <w:kern w:val="0"/>
                <w:sz w:val="18"/>
                <w:szCs w:val="18"/>
                <w:u w:val="none"/>
                <w:lang w:val="en-US" w:eastAsia="zh-CN" w:bidi="ar"/>
              </w:rPr>
            </w:pP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2.3</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城市建设维护税</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48.08</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5.06</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5.05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5.04</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5.03</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5.02</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5.01</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2.4</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教育费附加</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20.61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2.17</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2.16</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2.16</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2.16</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2.15</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2.15</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增值税</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686.85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72.22</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72.10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71.97</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71.85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71.68</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71.55</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3.1</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销项税额</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712.61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74.98</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74.85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74.73</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74.60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74.48</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74.36</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3.2</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进项税额</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25.77</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2.76</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2.76</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2.76</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2.76</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2.80</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2.80</w:t>
            </w:r>
          </w:p>
        </w:tc>
      </w:tr>
    </w:tbl>
    <w:p>
      <w:pPr>
        <w:ind w:left="0" w:leftChars="0" w:firstLine="0" w:firstLineChars="0"/>
        <w:rPr>
          <w:rFonts w:hint="eastAsia" w:ascii="宋体" w:hAnsi="宋体" w:eastAsia="宋体" w:cs="宋体"/>
          <w:color w:val="auto"/>
          <w:sz w:val="28"/>
          <w:szCs w:val="28"/>
        </w:rPr>
      </w:pPr>
      <w:r>
        <w:rPr>
          <w:rFonts w:hint="eastAsia" w:ascii="宋体" w:hAnsi="宋体" w:eastAsia="宋体" w:cs="宋体"/>
          <w:color w:val="auto"/>
          <w:sz w:val="28"/>
          <w:szCs w:val="28"/>
        </w:rPr>
        <w:br w:type="page"/>
      </w:r>
    </w:p>
    <w:bookmarkStart w:id="139" w:name="_Toc28804"/>
    <w:bookmarkStart w:id="140" w:name="_Toc6072"/>
    <w:bookmarkStart w:id="141" w:name="_Toc27140"/>
    <w:p>
      <w:pPr>
        <w:keepNext w:val="false"/>
        <w:keepLines w:val="false"/>
        <w:pageBreakBefore w:val="false"/>
        <w:widowControl/>
        <w:kinsoku w:val="false"/>
        <w:wordWrap/>
        <w:overflowPunct/>
        <w:topLinePunct w:val="false"/>
        <w:autoSpaceDE w:val="false"/>
        <w:autoSpaceDN w:val="false"/>
        <w:bidi w:val="false"/>
        <w:adjustRightInd w:val="false"/>
        <w:snapToGrid w:val="false"/>
        <w:spacing w:line="360" w:lineRule="auto"/>
        <w:textAlignment w:val="baseline"/>
        <w:outlineLvl w:val="0"/>
        <w:rPr>
          <w:rFonts w:hint="eastAsia" w:ascii="宋体" w:hAnsi="宋体" w:eastAsia="宋体" w:cs="宋体"/>
          <w:b/>
          <w:bCs/>
          <w:i w:val="false"/>
          <w:iCs w:val="false"/>
          <w:color w:val="auto"/>
          <w:kern w:val="0"/>
          <w:sz w:val="28"/>
          <w:szCs w:val="28"/>
          <w:u w:val="none"/>
          <w:lang w:val="en-US" w:eastAsia="zh-CN"/>
        </w:rPr>
      </w:pPr>
      <w:r>
        <w:rPr>
          <w:rFonts w:hint="eastAsia" w:ascii="宋体" w:hAnsi="宋体" w:eastAsia="宋体" w:cs="宋体"/>
          <w:b/>
          <w:bCs/>
          <w:i w:val="false"/>
          <w:iCs w:val="false"/>
          <w:color w:val="auto"/>
          <w:kern w:val="0"/>
          <w:sz w:val="28"/>
          <w:szCs w:val="28"/>
          <w:u w:val="none"/>
          <w:lang w:val="en-US" w:eastAsia="zh-CN"/>
        </w:rPr>
        <w:t>附表4：总成本费用表</w:t>
      </w:r>
      <w:bookmarkEnd w:id="139"/>
      <w:bookmarkEnd w:id="140"/>
      <w:bookmarkEnd w:id="141"/>
    </w:p>
    <w:tbl>
      <w:tblPr>
        <w:tblStyle w:val="00000a"/>
        <w:tblW w:w="0" w:type="auto"/>
        <w:tblInd w:w="11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02"/>
        <w:gridCol w:w="2461"/>
        <w:gridCol w:w="1169"/>
        <w:gridCol w:w="1588"/>
        <w:gridCol w:w="1588"/>
        <w:gridCol w:w="1588"/>
        <w:gridCol w:w="1588"/>
        <w:gridCol w:w="1588"/>
        <w:gridCol w:w="1591"/>
      </w:tblGrid>
      <w:tr>
        <w:trPr>
          <w:trHeight w:val="420" w:hRule="atLeast"/>
          <w:tblHeader/>
        </w:trPr>
        <w:tc>
          <w:tcPr>
            <w:tcW w:w="13963" w:type="dxa"/>
            <w:gridSpan w:val="9"/>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jc w:val="right"/>
              <w:textAlignment w:val="center"/>
              <w:rPr>
                <w:rFonts w:hint="eastAsia" w:ascii="宋体" w:hAnsi="宋体" w:eastAsia="宋体" w:cs="宋体"/>
                <w:i w:val="false"/>
                <w:iCs w:val="false"/>
                <w:color w:val="000000"/>
                <w:kern w:val="0"/>
                <w:sz w:val="21"/>
                <w:szCs w:val="21"/>
                <w:u w:val="none"/>
                <w:lang w:val="en-US" w:eastAsia="zh-CN" w:bidi="ar"/>
              </w:rPr>
            </w:pPr>
            <w:r>
              <w:rPr>
                <w:rFonts w:hint="eastAsia" w:ascii="宋体" w:hAnsi="宋体" w:eastAsia="宋体" w:cs="宋体"/>
                <w:i w:val="false"/>
                <w:iCs w:val="false"/>
                <w:color w:val="000000"/>
                <w:kern w:val="0"/>
                <w:sz w:val="21"/>
                <w:szCs w:val="21"/>
                <w:u w:val="none"/>
                <w:lang w:val="en-US" w:eastAsia="zh-CN" w:bidi="ar"/>
              </w:rPr>
              <w:t>单位：万元</w:t>
            </w:r>
          </w:p>
        </w:tc>
      </w:tr>
      <w:tr>
        <w:trPr>
          <w:trHeight w:val="420" w:hRule="atLeast"/>
          <w:tblHeader/>
        </w:trPr>
        <w:tc>
          <w:tcPr>
            <w:tcW w:w="8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序号</w:t>
            </w:r>
          </w:p>
        </w:tc>
        <w:tc>
          <w:tcPr>
            <w:tcW w:w="24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项目</w:t>
            </w:r>
          </w:p>
        </w:tc>
        <w:tc>
          <w:tcPr>
            <w:tcW w:w="11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合计</w:t>
            </w:r>
          </w:p>
        </w:tc>
        <w:tc>
          <w:tcPr>
            <w:tcW w:w="953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计算期</w:t>
            </w:r>
          </w:p>
        </w:tc>
      </w:tr>
      <w:tr>
        <w:trPr>
          <w:trHeight w:val="420" w:hRule="atLeast"/>
          <w:tblHeader/>
        </w:trPr>
        <w:tc>
          <w:tcPr>
            <w:tcW w:w="8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24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11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default" w:ascii="宋体" w:hAnsi="宋体" w:eastAsia="宋体" w:cs="宋体"/>
                <w:b/>
                <w:bCs/>
                <w:i w:val="false"/>
                <w:iCs w:val="false"/>
                <w:color w:val="000000"/>
                <w:kern w:val="0"/>
                <w:sz w:val="18"/>
                <w:szCs w:val="18"/>
                <w:u w:val="none"/>
                <w:lang w:val="en-US" w:eastAsia="zh-CN" w:bidi="ar"/>
              </w:rPr>
            </w:pPr>
            <w:r>
              <w:rPr>
                <w:rFonts w:hint="eastAsia" w:ascii="宋体" w:hAnsi="宋体" w:cs="宋体"/>
                <w:b/>
                <w:bCs/>
                <w:i w:val="false"/>
                <w:iCs w:val="false"/>
                <w:color w:val="000000"/>
                <w:kern w:val="0"/>
                <w:sz w:val="18"/>
                <w:szCs w:val="18"/>
                <w:u w:val="none"/>
                <w:lang w:val="en-US" w:eastAsia="zh-CN" w:bidi="ar"/>
              </w:rPr>
              <w:t>0.5</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default" w:ascii="宋体" w:hAnsi="宋体" w:eastAsia="宋体" w:cs="宋体"/>
                <w:b/>
                <w:bCs/>
                <w:i w:val="false"/>
                <w:iCs w:val="false"/>
                <w:color w:val="000000"/>
                <w:kern w:val="0"/>
                <w:sz w:val="18"/>
                <w:szCs w:val="18"/>
                <w:u w:val="none"/>
                <w:lang w:val="en-US" w:eastAsia="zh-CN" w:bidi="ar"/>
              </w:rPr>
            </w:pPr>
            <w:r>
              <w:rPr>
                <w:rFonts w:hint="eastAsia" w:ascii="宋体" w:hAnsi="宋体" w:cs="宋体"/>
                <w:b/>
                <w:bCs/>
                <w:i w:val="false"/>
                <w:iCs w:val="false"/>
                <w:color w:val="000000"/>
                <w:kern w:val="0"/>
                <w:sz w:val="18"/>
                <w:szCs w:val="18"/>
                <w:u w:val="none"/>
                <w:lang w:val="en-US" w:eastAsia="zh-CN" w:bidi="ar"/>
              </w:rPr>
              <w:t>2</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3</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4</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5</w:t>
            </w:r>
          </w:p>
        </w:tc>
        <w:tc>
          <w:tcPr>
            <w:tcW w:w="15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6</w:t>
            </w:r>
          </w:p>
        </w:tc>
      </w:tr>
      <w:tr>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外购燃料及动力费</w:t>
            </w:r>
          </w:p>
        </w:tc>
        <w:tc>
          <w:tcPr>
            <w:tcW w:w="11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160.31</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6.97</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13.94</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13.94</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13.94</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13.94</w:t>
            </w:r>
          </w:p>
        </w:tc>
        <w:tc>
          <w:tcPr>
            <w:tcW w:w="15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13.94</w:t>
            </w:r>
          </w:p>
        </w:tc>
      </w:tr>
      <w:tr>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储能电量</w:t>
            </w:r>
          </w:p>
        </w:tc>
        <w:tc>
          <w:tcPr>
            <w:tcW w:w="116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5.67</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11.34</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11.34</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11.34</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11.34</w:t>
            </w:r>
          </w:p>
        </w:tc>
        <w:tc>
          <w:tcPr>
            <w:tcW w:w="15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11.34</w:t>
            </w:r>
          </w:p>
        </w:tc>
      </w:tr>
      <w:tr>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工资及福利费</w:t>
            </w:r>
          </w:p>
        </w:tc>
        <w:tc>
          <w:tcPr>
            <w:tcW w:w="11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329.61</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14.00</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28.00</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28.00</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28.00</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28.00</w:t>
            </w:r>
          </w:p>
        </w:tc>
        <w:tc>
          <w:tcPr>
            <w:tcW w:w="15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28.84</w:t>
            </w:r>
          </w:p>
        </w:tc>
      </w:tr>
      <w:tr>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保洁维护费</w:t>
            </w:r>
          </w:p>
        </w:tc>
        <w:tc>
          <w:tcPr>
            <w:tcW w:w="11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169.22</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7.36</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14.72</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14.72</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14.72</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14.72</w:t>
            </w:r>
          </w:p>
        </w:tc>
        <w:tc>
          <w:tcPr>
            <w:tcW w:w="15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14.72</w:t>
            </w:r>
          </w:p>
        </w:tc>
      </w:tr>
      <w:tr>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电网过路费</w:t>
            </w:r>
          </w:p>
        </w:tc>
        <w:tc>
          <w:tcPr>
            <w:tcW w:w="11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237.67</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10.63</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21.16</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21.06</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20.95</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20.85</w:t>
            </w:r>
          </w:p>
        </w:tc>
        <w:tc>
          <w:tcPr>
            <w:tcW w:w="15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20.74</w:t>
            </w:r>
          </w:p>
        </w:tc>
      </w:tr>
      <w:tr>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管理费及其他</w:t>
            </w:r>
          </w:p>
        </w:tc>
        <w:tc>
          <w:tcPr>
            <w:tcW w:w="11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117.05</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2.50</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10.00</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10.00</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10.00</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10.00</w:t>
            </w:r>
          </w:p>
        </w:tc>
        <w:tc>
          <w:tcPr>
            <w:tcW w:w="15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10.50</w:t>
            </w:r>
          </w:p>
        </w:tc>
      </w:tr>
      <w:tr>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经营成本（1+2+3+4+5+6）</w:t>
            </w:r>
          </w:p>
        </w:tc>
        <w:tc>
          <w:tcPr>
            <w:tcW w:w="11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1013.87</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41.46</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87.82</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87.71</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87.61</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87.50</w:t>
            </w:r>
          </w:p>
        </w:tc>
        <w:tc>
          <w:tcPr>
            <w:tcW w:w="15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88.74</w:t>
            </w:r>
          </w:p>
        </w:tc>
      </w:tr>
      <w:tr>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折旧费</w:t>
            </w:r>
          </w:p>
        </w:tc>
        <w:tc>
          <w:tcPr>
            <w:tcW w:w="11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2010.80</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87.43</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174.85</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174.85</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174.85</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174.85</w:t>
            </w:r>
          </w:p>
        </w:tc>
        <w:tc>
          <w:tcPr>
            <w:tcW w:w="15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174.85</w:t>
            </w:r>
          </w:p>
        </w:tc>
      </w:tr>
      <w:tr>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摊销费</w:t>
            </w:r>
          </w:p>
        </w:tc>
        <w:tc>
          <w:tcPr>
            <w:tcW w:w="11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r>
      <w:tr>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利息支出</w:t>
            </w:r>
          </w:p>
        </w:tc>
        <w:tc>
          <w:tcPr>
            <w:tcW w:w="11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1022.36</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79.38</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150.70</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139.61</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128.27</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116.17</w:t>
            </w:r>
          </w:p>
        </w:tc>
        <w:tc>
          <w:tcPr>
            <w:tcW w:w="15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103.07</w:t>
            </w:r>
          </w:p>
        </w:tc>
      </w:tr>
      <w:tr>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总成本费用合计（6+7+8+9）</w:t>
            </w:r>
          </w:p>
        </w:tc>
        <w:tc>
          <w:tcPr>
            <w:tcW w:w="11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4047.04</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208.27</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413.36</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402.17</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390.73</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378.52</w:t>
            </w:r>
          </w:p>
        </w:tc>
        <w:tc>
          <w:tcPr>
            <w:tcW w:w="15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366.66</w:t>
            </w:r>
          </w:p>
        </w:tc>
      </w:tr>
      <w:bookmarkStart w:id="142" w:name="_Toc32655"/>
      <w:tr>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11.1</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其中：固定成本</w:t>
            </w:r>
          </w:p>
        </w:tc>
        <w:tc>
          <w:tcPr>
            <w:tcW w:w="11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3150.22</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169.31</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335.55</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324.46</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313.12</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301.02</w:t>
            </w:r>
          </w:p>
        </w:tc>
        <w:tc>
          <w:tcPr>
            <w:tcW w:w="15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288.42</w:t>
            </w:r>
          </w:p>
        </w:tc>
      </w:tr>
      <w:tr>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11.2</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可变成本</w:t>
            </w:r>
          </w:p>
        </w:tc>
        <w:tc>
          <w:tcPr>
            <w:tcW w:w="11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659.14</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28.33</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56.66</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56.66</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56.66</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56.66</w:t>
            </w:r>
          </w:p>
        </w:tc>
        <w:tc>
          <w:tcPr>
            <w:tcW w:w="15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57.50</w:t>
            </w:r>
          </w:p>
        </w:tc>
      </w:tr>
    </w:tbl>
    <w:p>
      <w:pPr>
        <w:rPr>
          <w:rFonts w:hint="eastAsia" w:ascii="宋体" w:hAnsi="宋体" w:eastAsia="宋体" w:cs="宋体"/>
          <w:b/>
          <w:bCs/>
          <w:lang w:val="en-US" w:eastAsia="zh-CN"/>
        </w:rPr>
      </w:pPr>
      <w:r>
        <w:rPr>
          <w:rFonts w:hint="eastAsia" w:ascii="宋体" w:hAnsi="宋体" w:eastAsia="宋体" w:cs="宋体"/>
          <w:b/>
          <w:bCs/>
          <w:lang w:val="en-US" w:eastAsia="zh-CN"/>
        </w:rPr>
        <w:br w:type="page"/>
      </w:r>
    </w:p>
    <w:p>
      <w:pPr>
        <w:keepNext w:val="false"/>
        <w:keepLines w:val="false"/>
        <w:pageBreakBefore w:val="false"/>
        <w:widowControl/>
        <w:kinsoku w:val="false"/>
        <w:wordWrap/>
        <w:overflowPunct/>
        <w:topLinePunct w:val="false"/>
        <w:autoSpaceDE w:val="false"/>
        <w:autoSpaceDN w:val="false"/>
        <w:bidi w:val="false"/>
        <w:adjustRightInd w:val="false"/>
        <w:snapToGrid w:val="false"/>
        <w:spacing w:line="360" w:lineRule="auto"/>
        <w:textAlignment w:val="baseline"/>
        <w:outlineLvl w:val="9"/>
        <w:rPr>
          <w:rFonts w:hint="eastAsia" w:ascii="宋体" w:hAnsi="宋体" w:eastAsia="宋体" w:cs="宋体"/>
          <w:b/>
          <w:bCs/>
          <w:i w:val="false"/>
          <w:iCs w:val="false"/>
          <w:color w:val="auto"/>
          <w:kern w:val="0"/>
          <w:sz w:val="28"/>
          <w:szCs w:val="28"/>
          <w:u w:val="none"/>
          <w:lang w:val="en-US" w:eastAsia="zh-CN"/>
        </w:rPr>
      </w:pPr>
      <w:r>
        <w:rPr>
          <w:rFonts w:hint="eastAsia" w:ascii="宋体" w:hAnsi="宋体" w:eastAsia="宋体" w:cs="宋体"/>
          <w:b/>
          <w:bCs/>
          <w:i w:val="false"/>
          <w:iCs w:val="false"/>
          <w:color w:val="auto"/>
          <w:kern w:val="0"/>
          <w:sz w:val="28"/>
          <w:szCs w:val="28"/>
          <w:u w:val="none"/>
          <w:lang w:val="en-US" w:eastAsia="zh-CN"/>
        </w:rPr>
        <w:t>附表4：总成本费用表</w:t>
      </w:r>
    </w:p>
    <w:tbl>
      <w:tblPr>
        <w:tblStyle w:val="00000a"/>
        <w:tblW w:w="0" w:type="auto"/>
        <w:tblInd w:w="11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02"/>
        <w:gridCol w:w="2461"/>
        <w:gridCol w:w="1214"/>
        <w:gridCol w:w="1581"/>
        <w:gridCol w:w="1581"/>
        <w:gridCol w:w="1581"/>
        <w:gridCol w:w="1581"/>
        <w:gridCol w:w="1581"/>
        <w:gridCol w:w="1581"/>
      </w:tblGrid>
      <w:tr>
        <w:trPr>
          <w:trHeight w:val="420" w:hRule="atLeast"/>
          <w:tblHeader/>
        </w:trPr>
        <w:tc>
          <w:tcPr>
            <w:tcW w:w="13963" w:type="dxa"/>
            <w:gridSpan w:val="9"/>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jc w:val="right"/>
              <w:textAlignment w:val="center"/>
              <w:rPr>
                <w:rFonts w:hint="eastAsia" w:ascii="宋体" w:hAnsi="宋体" w:eastAsia="宋体" w:cs="宋体"/>
                <w:i w:val="false"/>
                <w:iCs w:val="false"/>
                <w:color w:val="000000"/>
                <w:kern w:val="0"/>
                <w:sz w:val="21"/>
                <w:szCs w:val="21"/>
                <w:u w:val="none"/>
                <w:lang w:val="en-US" w:eastAsia="zh-CN" w:bidi="ar"/>
              </w:rPr>
            </w:pPr>
            <w:r>
              <w:rPr>
                <w:rFonts w:hint="eastAsia" w:ascii="宋体" w:hAnsi="宋体" w:eastAsia="宋体" w:cs="宋体"/>
                <w:i w:val="false"/>
                <w:iCs w:val="false"/>
                <w:color w:val="000000"/>
                <w:kern w:val="0"/>
                <w:sz w:val="21"/>
                <w:szCs w:val="21"/>
                <w:u w:val="none"/>
                <w:lang w:val="en-US" w:eastAsia="zh-CN" w:bidi="ar"/>
              </w:rPr>
              <w:t>单位：万元</w:t>
            </w:r>
          </w:p>
        </w:tc>
      </w:tr>
      <w:tr>
        <w:trPr>
          <w:trHeight w:val="420" w:hRule="atLeast"/>
          <w:tblHeader/>
        </w:trPr>
        <w:tc>
          <w:tcPr>
            <w:tcW w:w="8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序号</w:t>
            </w:r>
          </w:p>
        </w:tc>
        <w:tc>
          <w:tcPr>
            <w:tcW w:w="24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项目</w:t>
            </w:r>
          </w:p>
        </w:tc>
        <w:tc>
          <w:tcPr>
            <w:tcW w:w="121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合计</w:t>
            </w:r>
          </w:p>
        </w:tc>
        <w:tc>
          <w:tcPr>
            <w:tcW w:w="948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计算期</w:t>
            </w:r>
          </w:p>
        </w:tc>
      </w:tr>
      <w:tr>
        <w:trPr>
          <w:trHeight w:val="420" w:hRule="atLeast"/>
          <w:tblHeader/>
        </w:trPr>
        <w:tc>
          <w:tcPr>
            <w:tcW w:w="8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24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12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default"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 xml:space="preserve">7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default"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 xml:space="preserve">8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 xml:space="preserve">9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 xml:space="preserve">10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 xml:space="preserve">11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 xml:space="preserve">12 </w:t>
            </w:r>
          </w:p>
        </w:tc>
      </w:tr>
      <w:tr>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外购燃料及动力费</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160.31</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13.94</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13.94</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13.94</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13.94</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13.94</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13.94</w:t>
            </w:r>
          </w:p>
        </w:tc>
      </w:tr>
      <w:tr>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储能电量</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11.34</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11.34</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11.34</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11.34</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11.34</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11.34</w:t>
            </w:r>
          </w:p>
        </w:tc>
      </w:tr>
      <w:tr>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工资及福利费</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329.61</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28.84</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28.84</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28.84</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28.84</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29.71</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29.71</w:t>
            </w:r>
          </w:p>
        </w:tc>
      </w:tr>
      <w:tr>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保洁维护费</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169.22</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14.72</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14.72</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14.72</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14.72</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14.72</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14.72</w:t>
            </w:r>
          </w:p>
        </w:tc>
      </w:tr>
      <w:tr>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电网过路费</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237.67</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20.64</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20.53</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20.43</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20.33</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20.23</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20.13</w:t>
            </w:r>
          </w:p>
        </w:tc>
      </w:tr>
      <w:tr>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管理费及其他</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117.05</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10.50</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10.50</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10.50</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10.50</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11.03</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11.03</w:t>
            </w:r>
          </w:p>
        </w:tc>
      </w:tr>
      <w:tr>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经营成本（1+2+3+4+5+6）</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1013.87</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88.63</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88.53</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88.43</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88.32</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89.61</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89.51</w:t>
            </w:r>
          </w:p>
        </w:tc>
      </w:tr>
      <w:tr>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折旧费</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2010.80</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174.85</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174.85</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174.85</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174.85</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174.85</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174.85</w:t>
            </w:r>
          </w:p>
        </w:tc>
      </w:tr>
      <w:tr>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摊销费</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r>
      <w:tr>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利息支出</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1022.36</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89.46</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75.10</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59.98</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44.10</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27.22</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9.32</w:t>
            </w:r>
          </w:p>
        </w:tc>
      </w:tr>
      <w:tr>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总成本费用合计（6+7+8+9）</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4047.04</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352.94</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338.48</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323.26</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307.28</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291.68</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273.69</w:t>
            </w:r>
          </w:p>
        </w:tc>
      </w:tr>
      <w:tr>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11.1</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其中：固定成本</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3150.22</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274.81</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260.45</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245.33</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229.45</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213.09</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195.20</w:t>
            </w:r>
          </w:p>
        </w:tc>
      </w:tr>
      <w:tr>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11.2</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可变成本</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659.14</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57.50</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57.50</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57.50</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57.50</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58.36</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58.36</w:t>
            </w:r>
          </w:p>
        </w:tc>
      </w:tr>
    </w:tbl>
    <w:p>
      <w:pPr>
        <w:ind w:left="0" w:leftChars="0" w:firstLine="0" w:firstLineChars="0"/>
        <w:rPr>
          <w:rFonts w:hint="eastAsia" w:ascii="宋体" w:hAnsi="宋体" w:eastAsia="宋体" w:cs="宋体"/>
          <w:b/>
          <w:bCs/>
          <w:lang w:val="en-US" w:eastAsia="zh-CN"/>
        </w:rPr>
      </w:pPr>
      <w:r>
        <w:rPr>
          <w:rFonts w:hint="eastAsia" w:ascii="宋体" w:hAnsi="宋体" w:eastAsia="宋体" w:cs="宋体"/>
          <w:b/>
          <w:bCs/>
          <w:lang w:val="en-US" w:eastAsia="zh-CN"/>
        </w:rPr>
        <w:br w:type="page"/>
      </w:r>
    </w:p>
    <w:bookmarkStart w:id="143" w:name="_Toc12839"/>
    <w:bookmarkStart w:id="144" w:name="_Toc3902"/>
    <w:p>
      <w:pPr>
        <w:keepNext w:val="false"/>
        <w:keepLines w:val="false"/>
        <w:pageBreakBefore w:val="false"/>
        <w:widowControl/>
        <w:kinsoku w:val="false"/>
        <w:wordWrap/>
        <w:overflowPunct/>
        <w:topLinePunct w:val="false"/>
        <w:autoSpaceDE w:val="false"/>
        <w:autoSpaceDN w:val="false"/>
        <w:bidi w:val="false"/>
        <w:adjustRightInd w:val="false"/>
        <w:snapToGrid w:val="false"/>
        <w:spacing w:line="360" w:lineRule="auto"/>
        <w:textAlignment w:val="baseline"/>
        <w:outlineLvl w:val="0"/>
        <w:rPr>
          <w:rFonts w:hint="eastAsia" w:ascii="宋体" w:hAnsi="宋体" w:eastAsia="宋体" w:cs="宋体"/>
          <w:b/>
          <w:bCs/>
          <w:i w:val="false"/>
          <w:iCs w:val="false"/>
          <w:color w:val="auto"/>
          <w:kern w:val="0"/>
          <w:sz w:val="28"/>
          <w:szCs w:val="28"/>
          <w:u w:val="none"/>
          <w:lang w:val="en-US" w:eastAsia="zh-CN"/>
        </w:rPr>
      </w:pPr>
      <w:r>
        <w:rPr>
          <w:rFonts w:hint="eastAsia" w:ascii="宋体" w:hAnsi="宋体" w:eastAsia="宋体" w:cs="宋体"/>
          <w:b/>
          <w:bCs/>
          <w:i w:val="false"/>
          <w:iCs w:val="false"/>
          <w:color w:val="auto"/>
          <w:kern w:val="0"/>
          <w:sz w:val="28"/>
          <w:szCs w:val="28"/>
          <w:u w:val="none"/>
          <w:lang w:val="en-US" w:eastAsia="zh-CN"/>
        </w:rPr>
        <w:t>附表5：利润及利润分配表</w:t>
      </w:r>
      <w:bookmarkEnd w:id="142"/>
      <w:bookmarkEnd w:id="143"/>
      <w:bookmarkEnd w:id="144"/>
    </w:p>
    <w:tbl>
      <w:tblPr>
        <w:tblStyle w:val="00000a"/>
        <w:tblW w:w="0" w:type="auto"/>
        <w:tblInd w:w="11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32"/>
        <w:gridCol w:w="3015"/>
        <w:gridCol w:w="1440"/>
        <w:gridCol w:w="1446"/>
        <w:gridCol w:w="1446"/>
        <w:gridCol w:w="1446"/>
        <w:gridCol w:w="1446"/>
        <w:gridCol w:w="1446"/>
        <w:gridCol w:w="1446"/>
      </w:tblGrid>
      <w:tr>
        <w:trPr>
          <w:trHeight w:val="270" w:hRule="atLeast"/>
          <w:tblHeader/>
        </w:trPr>
        <w:tc>
          <w:tcPr>
            <w:tcW w:w="13963" w:type="dxa"/>
            <w:gridSpan w:val="9"/>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jc w:val="right"/>
              <w:textAlignment w:val="center"/>
              <w:rPr>
                <w:rFonts w:hint="eastAsia" w:ascii="宋体" w:hAnsi="宋体" w:eastAsia="宋体" w:cs="宋体"/>
                <w:i w:val="false"/>
                <w:iCs w:val="false"/>
                <w:color w:val="000000"/>
                <w:kern w:val="0"/>
                <w:sz w:val="21"/>
                <w:szCs w:val="21"/>
                <w:u w:val="none"/>
                <w:lang w:val="en-US" w:eastAsia="zh-CN" w:bidi="ar"/>
              </w:rPr>
            </w:pPr>
            <w:r>
              <w:rPr>
                <w:rFonts w:hint="eastAsia" w:ascii="宋体" w:hAnsi="宋体" w:eastAsia="宋体" w:cs="宋体"/>
                <w:i w:val="false"/>
                <w:iCs w:val="false"/>
                <w:color w:val="000000"/>
                <w:kern w:val="0"/>
                <w:sz w:val="21"/>
                <w:szCs w:val="21"/>
                <w:u w:val="none"/>
                <w:lang w:val="en-US" w:eastAsia="zh-CN" w:bidi="ar"/>
              </w:rPr>
              <w:t>单位：万元</w:t>
            </w:r>
          </w:p>
        </w:tc>
      </w:tr>
      <w:tr>
        <w:trPr>
          <w:trHeight w:val="420" w:hRule="atLeast"/>
          <w:tblHeader/>
        </w:trPr>
        <w:tc>
          <w:tcPr>
            <w:tcW w:w="8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序号</w:t>
            </w:r>
          </w:p>
        </w:tc>
        <w:tc>
          <w:tcPr>
            <w:tcW w:w="30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项 目</w:t>
            </w:r>
          </w:p>
        </w:tc>
        <w:tc>
          <w:tcPr>
            <w:tcW w:w="14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合计</w:t>
            </w:r>
          </w:p>
        </w:tc>
        <w:tc>
          <w:tcPr>
            <w:tcW w:w="867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计算期</w:t>
            </w:r>
          </w:p>
        </w:tc>
      </w:tr>
      <w:tr>
        <w:trPr>
          <w:trHeight w:val="420" w:hRule="atLeast"/>
          <w:tblHeader/>
        </w:trPr>
        <w:tc>
          <w:tcPr>
            <w:tcW w:w="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30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default" w:ascii="宋体" w:hAnsi="宋体" w:eastAsia="宋体" w:cs="宋体"/>
                <w:b/>
                <w:bCs/>
                <w:i w:val="false"/>
                <w:iCs w:val="false"/>
                <w:color w:val="000000"/>
                <w:kern w:val="0"/>
                <w:sz w:val="18"/>
                <w:szCs w:val="18"/>
                <w:u w:val="none"/>
                <w:lang w:val="en-US" w:eastAsia="zh-CN" w:bidi="ar"/>
              </w:rPr>
            </w:pPr>
            <w:r>
              <w:rPr>
                <w:rFonts w:hint="eastAsia" w:ascii="宋体" w:hAnsi="宋体" w:cs="宋体"/>
                <w:b/>
                <w:bCs/>
                <w:i w:val="false"/>
                <w:iCs w:val="false"/>
                <w:color w:val="000000"/>
                <w:kern w:val="0"/>
                <w:sz w:val="18"/>
                <w:szCs w:val="18"/>
                <w:u w:val="none"/>
                <w:lang w:val="en-US" w:eastAsia="zh-CN" w:bidi="ar"/>
              </w:rPr>
              <w:t>0.5</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default" w:ascii="宋体" w:hAnsi="宋体" w:eastAsia="宋体" w:cs="宋体"/>
                <w:b/>
                <w:bCs/>
                <w:i w:val="false"/>
                <w:iCs w:val="false"/>
                <w:color w:val="000000"/>
                <w:kern w:val="0"/>
                <w:sz w:val="18"/>
                <w:szCs w:val="18"/>
                <w:u w:val="none"/>
                <w:lang w:val="en-US" w:eastAsia="zh-CN" w:bidi="ar"/>
              </w:rPr>
            </w:pPr>
            <w:r>
              <w:rPr>
                <w:rFonts w:hint="eastAsia" w:ascii="宋体" w:hAnsi="宋体" w:cs="宋体"/>
                <w:b/>
                <w:bCs/>
                <w:i w:val="false"/>
                <w:iCs w:val="false"/>
                <w:color w:val="000000"/>
                <w:kern w:val="0"/>
                <w:sz w:val="18"/>
                <w:szCs w:val="18"/>
                <w:u w:val="none"/>
                <w:lang w:val="en-US" w:eastAsia="zh-CN" w:bidi="ar"/>
              </w:rPr>
              <w:t>2</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3</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4</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5</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6</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营业收入</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6731.31</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291.92</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584.81</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585.79</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586.77</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587.76</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587.77</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营业税金及附加</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83.01</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3.65</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7.25</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7.25</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7.25</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7.25</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7.23</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增值税</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830.07</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36.47</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72.49</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72.48</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72.47</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72.46</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72.35</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总成本费用</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4047.04</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208.27</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413.36</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402.17</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390.73</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378.52</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366.66</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补贴收入</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利润总额（1-2-3+4）</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1771.20</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43.53</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91.71</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103.90</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116.33</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129.53</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141.54</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弥补以前年度亏损</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应纳税所得额（5-6）</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1771.20</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43.53</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91.71</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103.90</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116.33</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129.53</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141.54</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所得税</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442.80</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10.88</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22.93</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25.97</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29.08</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32.38</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35.38</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净利润（5-8）</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1328.40</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32.65</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68.78</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77.92</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87.25</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97.15</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106.15</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期初未分配利润</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5141.51</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29.38</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91.29</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161.42</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239.94</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327.38</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可供分配的利润（9+10）</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6469.91</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32.65</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98.17</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169.21</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248.67</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337.09</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433.53</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提取法定盈余公积金</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132.84</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3.26</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6.88</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7.79</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8.73</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9.71</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10.62</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14</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可供投资者分配的利润（11-12）</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6337.07</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29.38</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91.29</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161.42</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239.94</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327.38</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422.92</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应付优先股股利</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16</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提取任意盈余公积金</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17</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应付普通股股利（13-14-15）</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18</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各投资方利润分配</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r>
      <w:tr>
        <w:trPr>
          <w:trHeight w:val="432"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其中：</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19</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未分配利润（13-14-15-17）</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6337.07</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29.38</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91.29</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161.42</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239.94</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327.38</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422.92</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20</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息税前利润（利润总额+利息支出）</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2793.56</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122.91</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242.41</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243.50</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244.60</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245.71</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244.60</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21</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息税折旧摊销前利润（息税前利润+折旧+摊销）</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4804.37</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210.34</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417.26</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418.36</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419.46</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420.56</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419.46</w:t>
            </w:r>
          </w:p>
        </w:tc>
      </w:tr>
    </w:tbl>
    <w:p>
      <w:pPr>
        <w:rPr>
          <w:rFonts w:hint="default" w:eastAsiaTheme="minorEastAsia"/>
          <w:lang w:val="en-US" w:eastAsia="zh-CN"/>
        </w:rPr>
      </w:pPr>
      <w:r>
        <w:rPr>
          <w:rFonts w:hint="default" w:eastAsiaTheme="minorEastAsia"/>
          <w:lang w:val="en-US" w:eastAsia="zh-CN"/>
        </w:rPr>
        <w:br w:type="page"/>
      </w:r>
    </w:p>
    <w:p>
      <w:pPr>
        <w:keepNext w:val="false"/>
        <w:keepLines w:val="false"/>
        <w:pageBreakBefore w:val="false"/>
        <w:widowControl/>
        <w:kinsoku w:val="false"/>
        <w:wordWrap/>
        <w:overflowPunct/>
        <w:topLinePunct w:val="false"/>
        <w:autoSpaceDE w:val="false"/>
        <w:autoSpaceDN w:val="false"/>
        <w:bidi w:val="false"/>
        <w:adjustRightInd w:val="false"/>
        <w:snapToGrid w:val="false"/>
        <w:spacing w:line="360" w:lineRule="auto"/>
        <w:textAlignment w:val="baseline"/>
        <w:outlineLvl w:val="9"/>
        <w:rPr>
          <w:rFonts w:hint="eastAsia" w:ascii="宋体" w:hAnsi="宋体" w:eastAsia="宋体" w:cs="宋体"/>
          <w:b/>
          <w:bCs/>
          <w:i w:val="false"/>
          <w:iCs w:val="false"/>
          <w:color w:val="auto"/>
          <w:kern w:val="0"/>
          <w:sz w:val="28"/>
          <w:szCs w:val="28"/>
          <w:u w:val="none"/>
          <w:lang w:val="en-US" w:eastAsia="zh-CN"/>
        </w:rPr>
      </w:pPr>
      <w:r>
        <w:rPr>
          <w:rFonts w:hint="eastAsia" w:ascii="宋体" w:hAnsi="宋体" w:eastAsia="宋体" w:cs="宋体"/>
          <w:b/>
          <w:bCs/>
          <w:i w:val="false"/>
          <w:iCs w:val="false"/>
          <w:color w:val="auto"/>
          <w:kern w:val="0"/>
          <w:sz w:val="28"/>
          <w:szCs w:val="28"/>
          <w:u w:val="none"/>
          <w:lang w:val="en-US" w:eastAsia="zh-CN"/>
        </w:rPr>
        <w:t>附表5：利润及利润分配表</w:t>
      </w:r>
    </w:p>
    <w:tbl>
      <w:tblPr>
        <w:tblStyle w:val="00000a"/>
        <w:tblW w:w="0" w:type="auto"/>
        <w:tblInd w:w="11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32"/>
        <w:gridCol w:w="3015"/>
        <w:gridCol w:w="1440"/>
        <w:gridCol w:w="1446"/>
        <w:gridCol w:w="1446"/>
        <w:gridCol w:w="1446"/>
        <w:gridCol w:w="1446"/>
        <w:gridCol w:w="1446"/>
        <w:gridCol w:w="1446"/>
      </w:tblGrid>
      <w:tr>
        <w:trPr>
          <w:trHeight w:val="270" w:hRule="atLeast"/>
          <w:tblHeader/>
        </w:trPr>
        <w:tc>
          <w:tcPr>
            <w:tcW w:w="13963" w:type="dxa"/>
            <w:gridSpan w:val="9"/>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jc w:val="right"/>
              <w:textAlignment w:val="center"/>
              <w:rPr>
                <w:rFonts w:hint="eastAsia" w:ascii="宋体" w:hAnsi="宋体" w:eastAsia="宋体" w:cs="宋体"/>
                <w:i w:val="false"/>
                <w:iCs w:val="false"/>
                <w:color w:val="000000"/>
                <w:kern w:val="0"/>
                <w:sz w:val="21"/>
                <w:szCs w:val="21"/>
                <w:u w:val="none"/>
                <w:lang w:val="en-US" w:eastAsia="zh-CN" w:bidi="ar"/>
              </w:rPr>
            </w:pPr>
            <w:r>
              <w:rPr>
                <w:rFonts w:hint="eastAsia" w:ascii="宋体" w:hAnsi="宋体" w:eastAsia="宋体" w:cs="宋体"/>
                <w:i w:val="false"/>
                <w:iCs w:val="false"/>
                <w:color w:val="000000"/>
                <w:kern w:val="0"/>
                <w:sz w:val="21"/>
                <w:szCs w:val="21"/>
                <w:u w:val="none"/>
                <w:lang w:val="en-US" w:eastAsia="zh-CN" w:bidi="ar"/>
              </w:rPr>
              <w:t>单位：万元</w:t>
            </w:r>
          </w:p>
        </w:tc>
      </w:tr>
      <w:tr>
        <w:trPr>
          <w:trHeight w:val="420" w:hRule="atLeast"/>
          <w:tblHeader/>
        </w:trPr>
        <w:tc>
          <w:tcPr>
            <w:tcW w:w="8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序号</w:t>
            </w:r>
          </w:p>
        </w:tc>
        <w:tc>
          <w:tcPr>
            <w:tcW w:w="30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项 目</w:t>
            </w:r>
          </w:p>
        </w:tc>
        <w:tc>
          <w:tcPr>
            <w:tcW w:w="14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合计</w:t>
            </w:r>
          </w:p>
        </w:tc>
        <w:tc>
          <w:tcPr>
            <w:tcW w:w="867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计算期</w:t>
            </w:r>
          </w:p>
        </w:tc>
      </w:tr>
      <w:tr>
        <w:trPr>
          <w:trHeight w:val="420" w:hRule="atLeast"/>
          <w:tblHeader/>
        </w:trPr>
        <w:tc>
          <w:tcPr>
            <w:tcW w:w="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30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default" w:ascii="宋体" w:hAnsi="宋体" w:eastAsia="宋体" w:cs="宋体"/>
                <w:b/>
                <w:bCs/>
                <w:i w:val="false"/>
                <w:iCs w:val="false"/>
                <w:color w:val="000000"/>
                <w:kern w:val="0"/>
                <w:sz w:val="18"/>
                <w:szCs w:val="18"/>
                <w:u w:val="none"/>
                <w:lang w:val="en-US" w:eastAsia="zh-CN" w:bidi="ar"/>
              </w:rPr>
            </w:pPr>
            <w:r>
              <w:rPr>
                <w:rFonts w:hint="default" w:ascii="宋体" w:hAnsi="宋体" w:eastAsia="宋体" w:cs="宋体"/>
                <w:b/>
                <w:bCs/>
                <w:i w:val="false"/>
                <w:iCs w:val="false"/>
                <w:color w:val="000000"/>
                <w:kern w:val="0"/>
                <w:sz w:val="18"/>
                <w:szCs w:val="18"/>
                <w:u w:val="none"/>
                <w:lang w:val="en-US" w:eastAsia="zh-CN" w:bidi="ar"/>
              </w:rPr>
              <w:t>7</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default" w:ascii="宋体" w:hAnsi="宋体" w:eastAsia="宋体" w:cs="宋体"/>
                <w:b/>
                <w:bCs/>
                <w:i w:val="false"/>
                <w:iCs w:val="false"/>
                <w:color w:val="000000"/>
                <w:kern w:val="0"/>
                <w:sz w:val="18"/>
                <w:szCs w:val="18"/>
                <w:u w:val="none"/>
                <w:lang w:val="en-US" w:eastAsia="zh-CN" w:bidi="ar"/>
              </w:rPr>
            </w:pPr>
            <w:r>
              <w:rPr>
                <w:rFonts w:hint="default" w:ascii="宋体" w:hAnsi="宋体" w:eastAsia="宋体" w:cs="宋体"/>
                <w:b/>
                <w:bCs/>
                <w:i w:val="false"/>
                <w:iCs w:val="false"/>
                <w:color w:val="000000"/>
                <w:kern w:val="0"/>
                <w:sz w:val="18"/>
                <w:szCs w:val="18"/>
                <w:u w:val="none"/>
                <w:lang w:val="en-US" w:eastAsia="zh-CN" w:bidi="ar"/>
              </w:rPr>
              <w:t>8</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default" w:ascii="宋体" w:hAnsi="宋体" w:eastAsia="宋体" w:cs="宋体"/>
                <w:b/>
                <w:bCs/>
                <w:i w:val="false"/>
                <w:iCs w:val="false"/>
                <w:color w:val="000000"/>
                <w:kern w:val="0"/>
                <w:sz w:val="18"/>
                <w:szCs w:val="18"/>
                <w:u w:val="none"/>
                <w:lang w:val="en-US" w:eastAsia="zh-CN" w:bidi="ar"/>
              </w:rPr>
              <w:t>9</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default" w:ascii="宋体" w:hAnsi="宋体" w:eastAsia="宋体" w:cs="宋体"/>
                <w:b/>
                <w:bCs/>
                <w:i w:val="false"/>
                <w:iCs w:val="false"/>
                <w:color w:val="000000"/>
                <w:kern w:val="0"/>
                <w:sz w:val="18"/>
                <w:szCs w:val="18"/>
                <w:u w:val="none"/>
                <w:lang w:val="en-US" w:eastAsia="zh-CN" w:bidi="ar"/>
              </w:rPr>
              <w:t>10</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default" w:ascii="宋体" w:hAnsi="宋体" w:eastAsia="宋体" w:cs="宋体"/>
                <w:b/>
                <w:bCs/>
                <w:i w:val="false"/>
                <w:iCs w:val="false"/>
                <w:color w:val="000000"/>
                <w:kern w:val="0"/>
                <w:sz w:val="18"/>
                <w:szCs w:val="18"/>
                <w:u w:val="none"/>
                <w:lang w:val="en-US" w:eastAsia="zh-CN" w:bidi="ar"/>
              </w:rPr>
              <w:t>11</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default" w:ascii="宋体" w:hAnsi="宋体" w:eastAsia="宋体" w:cs="宋体"/>
                <w:b/>
                <w:bCs/>
                <w:i w:val="false"/>
                <w:iCs w:val="false"/>
                <w:color w:val="000000"/>
                <w:kern w:val="0"/>
                <w:sz w:val="18"/>
                <w:szCs w:val="18"/>
                <w:u w:val="none"/>
                <w:lang w:val="en-US" w:eastAsia="zh-CN" w:bidi="ar"/>
              </w:rPr>
              <w:t>12</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营业收入</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6731.31</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586.80</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585.84</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584.88</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583.93</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582.98</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582.04</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营业税金及附加</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83.01</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7.22</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7.21</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7.20</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7.18</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7.17</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7.16</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增值税</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830.07</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72.22</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72.10</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71.97</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71.85</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71.68</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71.55</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总成本费用</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4047.04</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352.94</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338.48</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323.26</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307.28</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291.68</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273.69</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补贴收入</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利润总额（1-2-3+4）</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1771.20</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154.42</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168.06</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182.46</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197.62</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212.46</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229.64</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弥补以前年度亏损</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应纳税所得额（5-6）</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1771.20</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154.42</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168.06</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182.46</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197.62</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212.46</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229.64</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所得税</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442.80</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38.60</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42.01</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45.62</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49.41</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53.11</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57.41</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净利润（5-8）</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1328.40</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115.81</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126.04</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136.85</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148.22</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159.34</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172.23</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期初未分配利润</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5141.51</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422.92</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527.15</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640.59</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763.75</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897.14</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1040.55</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可供分配的利润（9+10）</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6469.91</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538.73</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653.19</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777.43</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911.96</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1056.49</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1212.78</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提取法定盈余公积金</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132.84</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11.58</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12.60</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13.68</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14.82</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15.93</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17.22</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14</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可供投资者分配的利润（11-12）</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6337.07</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527.15</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640.59</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763.75</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897.14</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1040.55</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1195.56</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应付优先股股利</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16</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提取任意盈余公积金</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17</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应付普通股股利（13-14-15）</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18</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各投资方利润分配</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其中：</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19</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未分配利润（13-14-15-17）</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6337.07</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527.15</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640.59</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763.75</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897.14</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1040.55</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1195.56</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20</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息税前利润（利润总额+利息支出）</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2793.56</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243.88</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243.16</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242.44</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241.72</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239.67</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238.96</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21</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息税折旧摊销前利润（息税前利润+折旧+摊销）</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4804.37</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418.73</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418.01</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417.29</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416.57</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414.52</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413.82</w:t>
            </w:r>
          </w:p>
        </w:tc>
      </w:tr>
    </w:tbl>
    <w:p>
      <w:pPr>
        <w:keepNext w:val="false"/>
        <w:keepLines w:val="false"/>
        <w:pageBreakBefore w:val="false"/>
        <w:kinsoku/>
        <w:wordWrap/>
        <w:overflowPunct/>
        <w:topLinePunct w:val="false"/>
        <w:autoSpaceDE/>
        <w:autoSpaceDN/>
        <w:bidi w:val="false"/>
        <w:adjustRightInd/>
        <w:snapToGrid/>
        <w:spacing w:line="240" w:lineRule="auto"/>
        <w:ind w:left="0" w:leftChars="0" w:firstLine="0" w:firstLineChars="0"/>
        <w:rPr>
          <w:rFonts w:hint="default" w:eastAsiaTheme="minorEastAsia"/>
          <w:lang w:val="en-US" w:eastAsia="zh-CN"/>
        </w:rPr>
      </w:pPr>
      <w:r>
        <w:rPr>
          <w:rFonts w:hint="default" w:eastAsiaTheme="minorEastAsia"/>
          <w:lang w:val="en-US" w:eastAsia="zh-CN"/>
        </w:rPr>
        <w:br w:type="page"/>
      </w:r>
    </w:p>
    <w:bookmarkStart w:id="145" w:name="_Toc19934"/>
    <w:bookmarkStart w:id="146" w:name="_Toc16364"/>
    <w:bookmarkStart w:id="147" w:name="_Toc9189"/>
    <w:p>
      <w:pPr>
        <w:keepNext w:val="false"/>
        <w:keepLines w:val="false"/>
        <w:pageBreakBefore w:val="false"/>
        <w:widowControl/>
        <w:kinsoku w:val="false"/>
        <w:wordWrap/>
        <w:overflowPunct/>
        <w:topLinePunct w:val="false"/>
        <w:autoSpaceDE w:val="false"/>
        <w:autoSpaceDN w:val="false"/>
        <w:bidi w:val="false"/>
        <w:adjustRightInd w:val="false"/>
        <w:snapToGrid w:val="false"/>
        <w:spacing w:line="360" w:lineRule="auto"/>
        <w:textAlignment w:val="baseline"/>
        <w:outlineLvl w:val="0"/>
        <w:rPr>
          <w:rFonts w:hint="eastAsia" w:ascii="宋体" w:hAnsi="宋体" w:eastAsia="宋体" w:cs="宋体"/>
          <w:b/>
          <w:bCs/>
          <w:i w:val="false"/>
          <w:iCs w:val="false"/>
          <w:color w:val="auto"/>
          <w:kern w:val="0"/>
          <w:sz w:val="28"/>
          <w:szCs w:val="28"/>
          <w:u w:val="none"/>
          <w:lang w:val="en-US" w:eastAsia="zh-CN"/>
        </w:rPr>
      </w:pPr>
      <w:r>
        <w:rPr>
          <w:rFonts w:hint="eastAsia" w:ascii="宋体" w:hAnsi="宋体" w:eastAsia="宋体" w:cs="宋体"/>
          <w:b/>
          <w:bCs/>
          <w:i w:val="false"/>
          <w:iCs w:val="false"/>
          <w:color w:val="auto"/>
          <w:kern w:val="0"/>
          <w:sz w:val="28"/>
          <w:szCs w:val="28"/>
          <w:u w:val="none"/>
          <w:lang w:val="en-US" w:eastAsia="zh-CN"/>
        </w:rPr>
        <w:t>附表6：项目投资现金流量表</w:t>
      </w:r>
      <w:bookmarkEnd w:id="145"/>
      <w:bookmarkEnd w:id="146"/>
      <w:bookmarkEnd w:id="147"/>
    </w:p>
    <w:tbl>
      <w:tblPr>
        <w:tblStyle w:val="00000a"/>
        <w:tblW w:w="0" w:type="auto"/>
        <w:tblInd w:w="11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58"/>
        <w:gridCol w:w="2835"/>
        <w:gridCol w:w="1169"/>
        <w:gridCol w:w="1538"/>
        <w:gridCol w:w="1538"/>
        <w:gridCol w:w="1538"/>
        <w:gridCol w:w="1538"/>
        <w:gridCol w:w="1538"/>
        <w:gridCol w:w="1541"/>
      </w:tblGrid>
      <w:tr>
        <w:trPr>
          <w:trHeight w:val="354" w:hRule="atLeast"/>
          <w:tblHeader/>
        </w:trPr>
        <w:tc>
          <w:tcPr>
            <w:tcW w:w="13993" w:type="dxa"/>
            <w:gridSpan w:val="9"/>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firstLine="0" w:firstLineChars="0"/>
              <w:jc w:val="right"/>
              <w:textAlignment w:val="center"/>
              <w:rPr>
                <w:rFonts w:hint="eastAsia" w:ascii="宋体" w:hAnsi="宋体" w:eastAsia="宋体" w:cs="宋体"/>
                <w:i w:val="false"/>
                <w:iCs w:val="false"/>
                <w:color w:val="000000"/>
                <w:kern w:val="0"/>
                <w:sz w:val="21"/>
                <w:szCs w:val="21"/>
                <w:u w:val="none"/>
                <w:lang w:val="en-US" w:eastAsia="zh-CN" w:bidi="ar"/>
              </w:rPr>
            </w:pPr>
            <w:r>
              <w:rPr>
                <w:rFonts w:hint="eastAsia" w:ascii="宋体" w:hAnsi="宋体" w:eastAsia="宋体" w:cs="宋体"/>
                <w:i w:val="false"/>
                <w:iCs w:val="false"/>
                <w:color w:val="000000"/>
                <w:kern w:val="0"/>
                <w:sz w:val="21"/>
                <w:szCs w:val="21"/>
                <w:u w:val="none"/>
                <w:lang w:val="en-US" w:eastAsia="zh-CN" w:bidi="ar"/>
              </w:rPr>
              <w:t>单位：万元</w:t>
            </w:r>
          </w:p>
        </w:tc>
      </w:tr>
      <w:tr>
        <w:trPr>
          <w:trHeight w:val="420" w:hRule="atLeast"/>
          <w:tblHeader/>
        </w:trPr>
        <w:tc>
          <w:tcPr>
            <w:tcW w:w="75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序号</w:t>
            </w:r>
          </w:p>
        </w:tc>
        <w:tc>
          <w:tcPr>
            <w:tcW w:w="28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项 目</w:t>
            </w:r>
          </w:p>
        </w:tc>
        <w:tc>
          <w:tcPr>
            <w:tcW w:w="11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合计</w:t>
            </w:r>
          </w:p>
        </w:tc>
        <w:tc>
          <w:tcPr>
            <w:tcW w:w="923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计算期</w:t>
            </w:r>
          </w:p>
        </w:tc>
      </w:tr>
      <w:tr>
        <w:trPr>
          <w:trHeight w:val="420" w:hRule="atLeast"/>
          <w:tblHeader/>
        </w:trPr>
        <w:tc>
          <w:tcPr>
            <w:tcW w:w="7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28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11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1</w:t>
            </w:r>
          </w:p>
        </w:tc>
        <w:tc>
          <w:tcPr>
            <w:tcW w:w="15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2</w:t>
            </w:r>
          </w:p>
        </w:tc>
        <w:tc>
          <w:tcPr>
            <w:tcW w:w="15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3</w:t>
            </w:r>
          </w:p>
        </w:tc>
        <w:tc>
          <w:tcPr>
            <w:tcW w:w="15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4</w:t>
            </w:r>
          </w:p>
        </w:tc>
        <w:tc>
          <w:tcPr>
            <w:tcW w:w="15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5</w:t>
            </w:r>
          </w:p>
        </w:tc>
        <w:tc>
          <w:tcPr>
            <w:tcW w:w="15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6</w:t>
            </w:r>
          </w:p>
        </w:tc>
      </w:tr>
      <w:tr>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现金流入</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8765.68</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655.99</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584.81</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585.79</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586.77</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587.76</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587.77</w:t>
            </w:r>
          </w:p>
        </w:tc>
      </w:tr>
      <w:tr>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营业收入</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6731.31</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291.92</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584.81</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585.79</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586.77</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587.76</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587.77</w:t>
            </w:r>
          </w:p>
        </w:tc>
      </w:tr>
      <w:tr>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留抵退税</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364.07</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364.07</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r>
      <w:tr>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回收固定资产余值</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1670.30</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r>
      <w:tr>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1.4</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回收流动资金</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r>
      <w:tr>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现金流出</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5972.12</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4126.76</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167.55</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167.44</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167.32</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167.20</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168.32</w:t>
            </w:r>
          </w:p>
        </w:tc>
      </w:tr>
      <w:tr>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2.1</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建设投资</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4045.17</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4045.17</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r>
      <w:tr>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2.2</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流动资金</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r>
      <w:tr>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2.3</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经营成本</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1013.87</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41.46</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87.82</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87.71</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87.61</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87.50</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88.74</w:t>
            </w:r>
          </w:p>
        </w:tc>
      </w:tr>
      <w:tr>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2.4</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营业税金及附加</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83.01</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3.65</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7.25</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7.25</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7.25</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7.25</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7.23</w:t>
            </w:r>
          </w:p>
        </w:tc>
      </w:tr>
      <w:tr>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2.5</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增值税</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830.07</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36.47</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72.49</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72.48</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72.47</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72.46</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72.35</w:t>
            </w:r>
          </w:p>
        </w:tc>
      </w:tr>
      <w:tr>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2.6</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维持运营投资</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r>
      <w:tr>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所得税前净现金流量（1-2）</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2793.56</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-3470.77</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417.26</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418.36</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419.46</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420.56</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419.46</w:t>
            </w:r>
          </w:p>
        </w:tc>
      </w:tr>
      <w:tr>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累计所得税前净现金流量</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-3470.77</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-3053.51</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-2635.15</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-2215.70</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-1795.14</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-1375.68</w:t>
            </w:r>
          </w:p>
        </w:tc>
      </w:tr>
      <w:tr>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所得税前净现金流量现值</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1163.73</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-3330.87</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384.30</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369.78</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355.81</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342.36</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327.70</w:t>
            </w:r>
          </w:p>
        </w:tc>
      </w:tr>
      <w:tr>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累计所得税前净现金流量现值</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-3330.87</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-2946.57</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-2576.79</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-2220.99</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-1878.62</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-1550.92</w:t>
            </w:r>
          </w:p>
        </w:tc>
      </w:tr>
      <w:tr>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调整所得税</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431.92</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22.93</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25.97</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29.08</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32.38</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35.38</w:t>
            </w:r>
          </w:p>
        </w:tc>
      </w:tr>
      <w:tr>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所得税后净现金流量（3-5）</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2361.64</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-3470.77</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394.33</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392.38</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390.37</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388.17</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384.07</w:t>
            </w:r>
          </w:p>
        </w:tc>
      </w:tr>
      <w:tr>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累计所得税后净现金流量</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-3470.77</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-3076.44</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-2684.06</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-2293.68</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-1905.51</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-1521.44</w:t>
            </w:r>
          </w:p>
        </w:tc>
      </w:tr>
      <w:tr>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所得税后净现金流量现值</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847.71</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-3330.87</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363.18</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346.82</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331.14</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316.00</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300.06</w:t>
            </w:r>
          </w:p>
        </w:tc>
      </w:tr>
      <w:tr>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累计所得税后净现金流量现值</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-3330.87</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-2967.69</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-2620.87</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-2289.73</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-1973.73</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-1673.67</w:t>
            </w:r>
          </w:p>
        </w:tc>
      </w:tr>
    </w:tbl>
    <w:p>
      <w:pPr>
        <w:rPr>
          <w:rFonts w:hint="eastAsia" w:ascii="宋体" w:hAnsi="宋体" w:eastAsia="宋体" w:cs="宋体"/>
          <w:color w:val="auto"/>
          <w:sz w:val="28"/>
          <w:szCs w:val="28"/>
        </w:rPr>
      </w:pPr>
      <w:r>
        <w:rPr>
          <w:rFonts w:hint="eastAsia" w:ascii="宋体" w:hAnsi="宋体" w:eastAsia="宋体" w:cs="宋体"/>
          <w:color w:val="auto"/>
          <w:sz w:val="28"/>
          <w:szCs w:val="28"/>
        </w:rPr>
        <w:br w:type="page"/>
      </w:r>
    </w:p>
    <w:p>
      <w:pPr>
        <w:keepNext w:val="false"/>
        <w:keepLines w:val="false"/>
        <w:pageBreakBefore w:val="false"/>
        <w:widowControl/>
        <w:kinsoku w:val="false"/>
        <w:wordWrap/>
        <w:overflowPunct/>
        <w:topLinePunct w:val="false"/>
        <w:autoSpaceDE w:val="false"/>
        <w:autoSpaceDN w:val="false"/>
        <w:bidi w:val="false"/>
        <w:adjustRightInd w:val="false"/>
        <w:snapToGrid w:val="false"/>
        <w:spacing w:line="360" w:lineRule="auto"/>
        <w:textAlignment w:val="baseline"/>
        <w:outlineLvl w:val="9"/>
        <w:rPr>
          <w:rFonts w:hint="eastAsia" w:ascii="宋体" w:hAnsi="宋体" w:eastAsia="宋体" w:cs="宋体"/>
          <w:b/>
          <w:bCs/>
          <w:i w:val="false"/>
          <w:iCs w:val="false"/>
          <w:color w:val="auto"/>
          <w:kern w:val="0"/>
          <w:sz w:val="28"/>
          <w:szCs w:val="28"/>
          <w:u w:val="none"/>
          <w:lang w:val="en-US" w:eastAsia="zh-CN"/>
        </w:rPr>
      </w:pPr>
      <w:r>
        <w:rPr>
          <w:rFonts w:hint="eastAsia" w:ascii="宋体" w:hAnsi="宋体" w:eastAsia="宋体" w:cs="宋体"/>
          <w:b/>
          <w:bCs/>
          <w:i w:val="false"/>
          <w:iCs w:val="false"/>
          <w:color w:val="auto"/>
          <w:kern w:val="0"/>
          <w:sz w:val="28"/>
          <w:szCs w:val="28"/>
          <w:u w:val="none"/>
          <w:lang w:val="en-US" w:eastAsia="zh-CN"/>
        </w:rPr>
        <w:t>附表6：项目投资现金流量表</w:t>
      </w:r>
    </w:p>
    <w:tbl>
      <w:tblPr>
        <w:tblStyle w:val="00000a"/>
        <w:tblW w:w="0" w:type="auto"/>
        <w:tblInd w:w="11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31"/>
        <w:gridCol w:w="2710"/>
        <w:gridCol w:w="1267"/>
        <w:gridCol w:w="236"/>
        <w:gridCol w:w="984"/>
        <w:gridCol w:w="280"/>
        <w:gridCol w:w="704"/>
        <w:gridCol w:w="795"/>
        <w:gridCol w:w="189"/>
        <w:gridCol w:w="984"/>
        <w:gridCol w:w="326"/>
        <w:gridCol w:w="658"/>
        <w:gridCol w:w="841"/>
        <w:gridCol w:w="143"/>
        <w:gridCol w:w="984"/>
        <w:gridCol w:w="371"/>
        <w:gridCol w:w="612"/>
        <w:gridCol w:w="942"/>
      </w:tblGrid>
      <w:tr>
        <w:trPr>
          <w:trHeight w:val="23" w:hRule="atLeast"/>
          <w:tblHeader/>
        </w:trPr>
        <w:tc>
          <w:tcPr>
            <w:tcW w:w="13957" w:type="dxa"/>
            <w:gridSpan w:val="18"/>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firstLine="0" w:firstLineChars="0"/>
              <w:jc w:val="right"/>
              <w:textAlignment w:val="center"/>
              <w:rPr>
                <w:rFonts w:hint="eastAsia" w:ascii="宋体" w:hAnsi="宋体" w:eastAsia="宋体" w:cs="宋体"/>
                <w:i w:val="false"/>
                <w:iCs w:val="false"/>
                <w:color w:val="000000"/>
                <w:kern w:val="0"/>
                <w:sz w:val="21"/>
                <w:szCs w:val="21"/>
                <w:u w:val="none"/>
                <w:lang w:val="en-US" w:eastAsia="zh-CN" w:bidi="ar"/>
              </w:rPr>
            </w:pPr>
            <w:r>
              <w:rPr>
                <w:rFonts w:hint="eastAsia" w:ascii="宋体" w:hAnsi="宋体" w:eastAsia="宋体" w:cs="宋体"/>
                <w:i w:val="false"/>
                <w:iCs w:val="false"/>
                <w:color w:val="000000"/>
                <w:kern w:val="0"/>
                <w:sz w:val="21"/>
                <w:szCs w:val="21"/>
                <w:u w:val="none"/>
                <w:lang w:val="en-US" w:eastAsia="zh-CN" w:bidi="ar"/>
              </w:rPr>
              <w:t>单位：万元</w:t>
            </w:r>
          </w:p>
        </w:tc>
      </w:tr>
      <w:tr>
        <w:trPr>
          <w:trHeight w:val="420" w:hRule="atLeast"/>
          <w:tblHeader/>
        </w:trPr>
        <w:tc>
          <w:tcPr>
            <w:tcW w:w="93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序号</w:t>
            </w:r>
          </w:p>
        </w:tc>
        <w:tc>
          <w:tcPr>
            <w:tcW w:w="27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项 目</w:t>
            </w:r>
          </w:p>
        </w:tc>
        <w:tc>
          <w:tcPr>
            <w:tcW w:w="12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合计</w:t>
            </w:r>
          </w:p>
        </w:tc>
        <w:tc>
          <w:tcPr>
            <w:tcW w:w="9049"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计算期</w:t>
            </w:r>
          </w:p>
        </w:tc>
      </w:tr>
      <w:tr>
        <w:trPr>
          <w:trHeight w:val="420" w:hRule="atLeast"/>
          <w:tblHeader/>
        </w:trPr>
        <w:tc>
          <w:tcPr>
            <w:tcW w:w="9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27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12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default" w:ascii="宋体" w:hAnsi="宋体" w:eastAsia="宋体" w:cs="宋体"/>
                <w:b/>
                <w:bCs/>
                <w:i w:val="false"/>
                <w:iCs w:val="false"/>
                <w:color w:val="000000"/>
                <w:kern w:val="0"/>
                <w:sz w:val="18"/>
                <w:szCs w:val="18"/>
                <w:u w:val="none"/>
                <w:lang w:val="en-US" w:eastAsia="zh-CN" w:bidi="ar"/>
              </w:rPr>
              <w:t>7</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default" w:ascii="宋体" w:hAnsi="宋体" w:eastAsia="宋体" w:cs="宋体"/>
                <w:b/>
                <w:bCs/>
                <w:i w:val="false"/>
                <w:iCs w:val="false"/>
                <w:color w:val="000000"/>
                <w:kern w:val="0"/>
                <w:sz w:val="18"/>
                <w:szCs w:val="18"/>
                <w:u w:val="none"/>
                <w:lang w:val="en-US" w:eastAsia="zh-CN" w:bidi="ar"/>
              </w:rPr>
              <w:t>8</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default" w:ascii="宋体" w:hAnsi="宋体" w:eastAsia="宋体" w:cs="宋体"/>
                <w:b/>
                <w:bCs/>
                <w:i w:val="false"/>
                <w:iCs w:val="false"/>
                <w:color w:val="000000"/>
                <w:kern w:val="0"/>
                <w:sz w:val="18"/>
                <w:szCs w:val="18"/>
                <w:u w:val="none"/>
                <w:lang w:val="en-US" w:eastAsia="zh-CN" w:bidi="ar"/>
              </w:rPr>
              <w:t>9</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default" w:ascii="宋体" w:hAnsi="宋体" w:eastAsia="宋体" w:cs="宋体"/>
                <w:b/>
                <w:bCs/>
                <w:i w:val="false"/>
                <w:iCs w:val="false"/>
                <w:color w:val="000000"/>
                <w:kern w:val="0"/>
                <w:sz w:val="18"/>
                <w:szCs w:val="18"/>
                <w:u w:val="none"/>
                <w:lang w:val="en-US" w:eastAsia="zh-CN" w:bidi="ar"/>
              </w:rPr>
              <w:t>10</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default" w:ascii="宋体" w:hAnsi="宋体" w:eastAsia="宋体" w:cs="宋体"/>
                <w:b/>
                <w:bCs/>
                <w:i w:val="false"/>
                <w:iCs w:val="false"/>
                <w:color w:val="000000"/>
                <w:kern w:val="0"/>
                <w:sz w:val="18"/>
                <w:szCs w:val="18"/>
                <w:u w:val="none"/>
                <w:lang w:val="en-US" w:eastAsia="zh-CN" w:bidi="ar"/>
              </w:rPr>
              <w:t>11</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default" w:ascii="宋体" w:hAnsi="宋体" w:eastAsia="宋体" w:cs="宋体"/>
                <w:b/>
                <w:bCs/>
                <w:i w:val="false"/>
                <w:iCs w:val="false"/>
                <w:color w:val="000000"/>
                <w:kern w:val="0"/>
                <w:sz w:val="18"/>
                <w:szCs w:val="18"/>
                <w:u w:val="none"/>
                <w:lang w:val="en-US" w:eastAsia="zh-CN" w:bidi="ar"/>
              </w:rPr>
              <w:t>12</w:t>
            </w:r>
          </w:p>
        </w:tc>
      </w:tr>
      <w:tr>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现金流入</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8765.68</w:t>
            </w: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586.80</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585.84</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584.88</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583.93</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582.98</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2252.34</w:t>
            </w:r>
          </w:p>
        </w:tc>
      </w:tr>
      <w:tr>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营业收入</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6731.31</w:t>
            </w: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586.80</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585.84</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584.88</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583.93</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582.98</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582.04</w:t>
            </w:r>
          </w:p>
        </w:tc>
      </w:tr>
      <w:tr>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留抵退税</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364.07</w:t>
            </w: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r>
      <w:tr>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回收固定资产余值</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1670.30</w:t>
            </w: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1670.30</w:t>
            </w:r>
          </w:p>
        </w:tc>
      </w:tr>
      <w:tr>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1.4</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回收流动资金</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r>
      <w:tr>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现金流出</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5972.12</w:t>
            </w: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168.07</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167.83</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167.59</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167.36</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168.46</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168.22</w:t>
            </w:r>
          </w:p>
        </w:tc>
      </w:tr>
      <w:tr>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2.1</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建设投资</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4045.17</w:t>
            </w: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r>
      <w:tr>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2.2</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流动资金</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r>
      <w:tr>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2.3</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经营成本</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1013.87</w:t>
            </w: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88.63</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88.53</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88.43</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88.32</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89.61</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89.51</w:t>
            </w:r>
          </w:p>
        </w:tc>
      </w:tr>
      <w:tr>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2.4</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营业税金及附加</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83.01</w:t>
            </w: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7.22</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7.21</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7.20</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7.18</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7.17</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7.16</w:t>
            </w:r>
          </w:p>
        </w:tc>
      </w:tr>
      <w:tr>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2.5</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增值税</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830.07</w:t>
            </w: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72.22</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72.10</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71.97</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71.85</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71.68</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71.55</w:t>
            </w:r>
          </w:p>
        </w:tc>
      </w:tr>
      <w:tr>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2.6</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维持运营投资</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r>
      <w:tr>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所得税前净现金流量（1-2）</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2793.56</w:t>
            </w: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418.73</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418.01</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417.29</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416.57</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414.52</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2084.12</w:t>
            </w:r>
          </w:p>
        </w:tc>
      </w:tr>
      <w:tr>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累计所得税前净现金流量</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-956.95</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-538.95</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-121.66</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294.92</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709.44</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2793.56</w:t>
            </w:r>
          </w:p>
        </w:tc>
      </w:tr>
      <w:tr>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所得税前净现金流量现值</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1163.73</w:t>
            </w: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313.95</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300.78</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288.16</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276.07</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263.64</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1272.07</w:t>
            </w:r>
          </w:p>
        </w:tc>
      </w:tr>
      <w:tr>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累计所得税前净现金流量现值</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-1236.97</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-936.19</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-648.04</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-371.97</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-108.33</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1163.73</w:t>
            </w:r>
          </w:p>
        </w:tc>
      </w:tr>
      <w:tr>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调整所得税</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431.92</w:t>
            </w: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38.60</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42.01</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45.62</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49.41</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53.11</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57.41</w:t>
            </w:r>
          </w:p>
        </w:tc>
      </w:tr>
      <w:tr>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所得税后净现金流量（3-5）</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2361.64</w:t>
            </w: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380.13</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375.99</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371.67</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367.17</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361.41</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2026.71</w:t>
            </w:r>
          </w:p>
        </w:tc>
      </w:tr>
      <w:tr>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累计所得税后净现金流量</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-1141.31</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-765.32</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-393.64</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-26.47</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334.94</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2361.64</w:t>
            </w:r>
          </w:p>
        </w:tc>
      </w:tr>
      <w:tr>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所得税后净现金流量现值</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847.71</w:t>
            </w: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285.01</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269.51</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256.66</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243.33</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229.86</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1237.03</w:t>
            </w:r>
          </w:p>
        </w:tc>
      </w:tr>
      <w:tr>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累计所得税后净现金流量现值</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-1388.67</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-1119.16</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-862.50</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-619.17</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-389.32</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847.71</w:t>
            </w:r>
          </w:p>
        </w:tc>
      </w:tr>
      <w:tr>
        <w:trPr>
          <w:trHeight w:val="420" w:hRule="atLeast"/>
        </w:trPr>
        <w:tc>
          <w:tcPr>
            <w:tcW w:w="3641" w:type="dxa"/>
            <w:gridSpan w:val="2"/>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color w:val="000000"/>
                <w:kern w:val="0"/>
                <w:sz w:val="18"/>
                <w:szCs w:val="18"/>
                <w:u w:val="none"/>
                <w:lang w:val="en-US" w:eastAsia="zh-CN" w:bidi="ar"/>
              </w:rPr>
              <w:t>计算指标：</w:t>
            </w:r>
          </w:p>
        </w:tc>
        <w:tc>
          <w:tcPr>
            <w:tcW w:w="1267" w:type="dxa"/>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236" w:type="dxa"/>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984" w:type="dxa"/>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984" w:type="dxa"/>
            <w:gridSpan w:val="2"/>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984" w:type="dxa"/>
            <w:gridSpan w:val="2"/>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984" w:type="dxa"/>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984" w:type="dxa"/>
            <w:gridSpan w:val="2"/>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984" w:type="dxa"/>
            <w:gridSpan w:val="2"/>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984" w:type="dxa"/>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983" w:type="dxa"/>
            <w:gridSpan w:val="2"/>
            <w:tcBorders>
              <w:top w:val="nil"/>
              <w:left w:val="nil"/>
              <w:bottom w:val="nil"/>
              <w:right w:val="nil"/>
            </w:tcBorders>
            <w:shd w:val="clear" w:color="auto" w:fill="auto"/>
            <w:noWrap/>
            <w:vAlign w:val="center"/>
          </w:tcPr>
          <w:p>
            <w:pPr>
              <w:keepNext w:val="false"/>
              <w:keepLines w:val="false"/>
              <w:pageBreakBefore w:val="false"/>
              <w:kinsoku/>
              <w:wordWrap/>
              <w:overflowPunct/>
              <w:topLinePunct w:val="false"/>
              <w:autoSpaceDE/>
              <w:autoSpaceDN/>
              <w:bidi w:val="false"/>
              <w:adjustRightInd/>
              <w:snapToGrid/>
              <w:spacing w:line="240" w:lineRule="auto"/>
              <w:jc w:val="center"/>
              <w:rPr>
                <w:rFonts w:hint="eastAsia" w:ascii="宋体" w:hAnsi="宋体" w:eastAsia="宋体" w:cs="宋体"/>
                <w:i w:val="false"/>
                <w:iCs w:val="false"/>
                <w:color w:val="000000"/>
                <w:sz w:val="18"/>
                <w:szCs w:val="18"/>
                <w:u w:val="none"/>
              </w:rPr>
            </w:pPr>
          </w:p>
        </w:tc>
        <w:tc>
          <w:tcPr>
            <w:tcW w:w="942" w:type="dxa"/>
            <w:tcBorders>
              <w:top w:val="nil"/>
              <w:left w:val="nil"/>
              <w:bottom w:val="nil"/>
              <w:right w:val="nil"/>
            </w:tcBorders>
            <w:shd w:val="clear" w:color="auto" w:fill="auto"/>
            <w:noWrap/>
            <w:vAlign w:val="center"/>
          </w:tcPr>
          <w:p>
            <w:pPr>
              <w:keepNext w:val="false"/>
              <w:keepLines w:val="false"/>
              <w:pageBreakBefore w:val="false"/>
              <w:kinsoku/>
              <w:wordWrap/>
              <w:overflowPunct/>
              <w:topLinePunct w:val="false"/>
              <w:autoSpaceDE/>
              <w:autoSpaceDN/>
              <w:bidi w:val="false"/>
              <w:adjustRightInd/>
              <w:snapToGrid/>
              <w:spacing w:line="240" w:lineRule="auto"/>
              <w:jc w:val="center"/>
              <w:rPr>
                <w:rFonts w:hint="eastAsia" w:ascii="宋体" w:hAnsi="宋体" w:eastAsia="宋体" w:cs="宋体"/>
                <w:i w:val="false"/>
                <w:iCs w:val="false"/>
                <w:color w:val="000000"/>
                <w:sz w:val="18"/>
                <w:szCs w:val="18"/>
                <w:u w:val="none"/>
              </w:rPr>
            </w:pPr>
          </w:p>
        </w:tc>
      </w:tr>
      <w:tr>
        <w:trPr>
          <w:trHeight w:val="420" w:hRule="atLeast"/>
        </w:trPr>
        <w:tc>
          <w:tcPr>
            <w:tcW w:w="4908" w:type="dxa"/>
            <w:gridSpan w:val="3"/>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color w:val="000000"/>
                <w:kern w:val="0"/>
                <w:sz w:val="18"/>
                <w:szCs w:val="18"/>
                <w:u w:val="none"/>
                <w:lang w:val="en-US" w:eastAsia="zh-CN" w:bidi="ar"/>
              </w:rPr>
              <w:t>项目投资财务内部收益率（%）（所得税前）</w:t>
            </w:r>
          </w:p>
        </w:tc>
        <w:tc>
          <w:tcPr>
            <w:tcW w:w="236" w:type="dxa"/>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984" w:type="dxa"/>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color w:val="000000"/>
                <w:kern w:val="0"/>
                <w:sz w:val="18"/>
                <w:szCs w:val="18"/>
                <w:u w:val="none"/>
                <w:lang w:val="en-US" w:eastAsia="zh-CN" w:bidi="ar"/>
              </w:rPr>
              <w:t>9.11%</w:t>
            </w:r>
          </w:p>
        </w:tc>
        <w:tc>
          <w:tcPr>
            <w:tcW w:w="984" w:type="dxa"/>
            <w:gridSpan w:val="2"/>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3936" w:type="dxa"/>
            <w:gridSpan w:val="7"/>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color w:val="000000"/>
                <w:kern w:val="0"/>
                <w:sz w:val="18"/>
                <w:szCs w:val="18"/>
                <w:u w:val="none"/>
                <w:lang w:val="en-US" w:eastAsia="zh-CN" w:bidi="ar"/>
              </w:rPr>
              <w:t>项目投资财务内部收益率（%）（所得税后）</w:t>
            </w:r>
          </w:p>
        </w:tc>
        <w:tc>
          <w:tcPr>
            <w:tcW w:w="984" w:type="dxa"/>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983" w:type="dxa"/>
            <w:gridSpan w:val="2"/>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color w:val="000000"/>
                <w:kern w:val="0"/>
                <w:sz w:val="18"/>
                <w:szCs w:val="18"/>
                <w:u w:val="none"/>
                <w:lang w:val="en-US" w:eastAsia="zh-CN" w:bidi="ar"/>
              </w:rPr>
              <w:t>7.84%</w:t>
            </w:r>
          </w:p>
        </w:tc>
        <w:tc>
          <w:tcPr>
            <w:tcW w:w="942" w:type="dxa"/>
            <w:tcBorders>
              <w:top w:val="nil"/>
              <w:left w:val="nil"/>
              <w:bottom w:val="nil"/>
              <w:right w:val="nil"/>
            </w:tcBorders>
            <w:shd w:val="clear" w:color="auto" w:fill="auto"/>
            <w:noWrap/>
            <w:vAlign w:val="center"/>
          </w:tcPr>
          <w:p>
            <w:pPr>
              <w:keepNext w:val="false"/>
              <w:keepLines w:val="false"/>
              <w:pageBreakBefore w:val="false"/>
              <w:kinsoku/>
              <w:wordWrap/>
              <w:overflowPunct/>
              <w:topLinePunct w:val="false"/>
              <w:autoSpaceDE/>
              <w:autoSpaceDN/>
              <w:bidi w:val="false"/>
              <w:adjustRightInd/>
              <w:snapToGrid/>
              <w:spacing w:line="240" w:lineRule="auto"/>
              <w:jc w:val="center"/>
              <w:rPr>
                <w:rFonts w:hint="eastAsia" w:ascii="宋体" w:hAnsi="宋体" w:eastAsia="宋体" w:cs="宋体"/>
                <w:i w:val="false"/>
                <w:iCs w:val="false"/>
                <w:color w:val="000000"/>
                <w:sz w:val="18"/>
                <w:szCs w:val="18"/>
                <w:u w:val="none"/>
              </w:rPr>
            </w:pPr>
          </w:p>
        </w:tc>
      </w:tr>
      <w:tr>
        <w:trPr>
          <w:trHeight w:val="420" w:hRule="atLeast"/>
        </w:trPr>
        <w:tc>
          <w:tcPr>
            <w:tcW w:w="4908" w:type="dxa"/>
            <w:gridSpan w:val="3"/>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color w:val="000000"/>
                <w:kern w:val="0"/>
                <w:sz w:val="18"/>
                <w:szCs w:val="18"/>
                <w:u w:val="none"/>
                <w:lang w:val="en-US" w:eastAsia="zh-CN" w:bidi="ar"/>
              </w:rPr>
              <w:t>项目投资财务净现值（所得税前）（ic=4.2%）</w:t>
            </w:r>
          </w:p>
        </w:tc>
        <w:tc>
          <w:tcPr>
            <w:tcW w:w="236" w:type="dxa"/>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984" w:type="dxa"/>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color w:val="000000"/>
                <w:kern w:val="0"/>
                <w:sz w:val="18"/>
                <w:szCs w:val="18"/>
                <w:u w:val="none"/>
                <w:lang w:val="en-US" w:eastAsia="zh-CN" w:bidi="ar"/>
              </w:rPr>
              <w:t xml:space="preserve">1163.73 </w:t>
            </w:r>
          </w:p>
        </w:tc>
        <w:tc>
          <w:tcPr>
            <w:tcW w:w="984" w:type="dxa"/>
            <w:gridSpan w:val="2"/>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3936" w:type="dxa"/>
            <w:gridSpan w:val="7"/>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color w:val="000000"/>
                <w:kern w:val="0"/>
                <w:sz w:val="18"/>
                <w:szCs w:val="18"/>
                <w:u w:val="none"/>
                <w:lang w:val="en-US" w:eastAsia="zh-CN" w:bidi="ar"/>
              </w:rPr>
              <w:t>项目投资财务净现值（所得税后）（ic=4.2%）</w:t>
            </w:r>
          </w:p>
        </w:tc>
        <w:tc>
          <w:tcPr>
            <w:tcW w:w="984" w:type="dxa"/>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983" w:type="dxa"/>
            <w:gridSpan w:val="2"/>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color w:val="000000"/>
                <w:kern w:val="0"/>
                <w:sz w:val="18"/>
                <w:szCs w:val="18"/>
                <w:u w:val="none"/>
                <w:lang w:val="en-US" w:eastAsia="zh-CN" w:bidi="ar"/>
              </w:rPr>
              <w:t xml:space="preserve">847.71 </w:t>
            </w:r>
          </w:p>
        </w:tc>
        <w:tc>
          <w:tcPr>
            <w:tcW w:w="942" w:type="dxa"/>
            <w:tcBorders>
              <w:top w:val="nil"/>
              <w:left w:val="nil"/>
              <w:bottom w:val="nil"/>
              <w:right w:val="nil"/>
            </w:tcBorders>
            <w:shd w:val="clear" w:color="auto" w:fill="auto"/>
            <w:noWrap/>
            <w:vAlign w:val="center"/>
          </w:tcPr>
          <w:p>
            <w:pPr>
              <w:keepNext w:val="false"/>
              <w:keepLines w:val="false"/>
              <w:pageBreakBefore w:val="false"/>
              <w:kinsoku/>
              <w:wordWrap/>
              <w:overflowPunct/>
              <w:topLinePunct w:val="false"/>
              <w:autoSpaceDE/>
              <w:autoSpaceDN/>
              <w:bidi w:val="false"/>
              <w:adjustRightInd/>
              <w:snapToGrid/>
              <w:spacing w:line="240" w:lineRule="auto"/>
              <w:jc w:val="center"/>
              <w:rPr>
                <w:rFonts w:hint="eastAsia" w:ascii="宋体" w:hAnsi="宋体" w:eastAsia="宋体" w:cs="宋体"/>
                <w:i w:val="false"/>
                <w:iCs w:val="false"/>
                <w:color w:val="000000"/>
                <w:sz w:val="18"/>
                <w:szCs w:val="18"/>
                <w:u w:val="none"/>
              </w:rPr>
            </w:pPr>
          </w:p>
        </w:tc>
      </w:tr>
      <w:tr>
        <w:trPr>
          <w:trHeight w:val="420" w:hRule="atLeast"/>
        </w:trPr>
        <w:tc>
          <w:tcPr>
            <w:tcW w:w="4908" w:type="dxa"/>
            <w:gridSpan w:val="3"/>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color w:val="000000"/>
                <w:kern w:val="0"/>
                <w:sz w:val="18"/>
                <w:szCs w:val="18"/>
                <w:u w:val="none"/>
                <w:lang w:val="en-US" w:eastAsia="zh-CN" w:bidi="ar"/>
              </w:rPr>
              <w:t>项目投资回收期（年）（所得税前）</w:t>
            </w:r>
          </w:p>
        </w:tc>
        <w:tc>
          <w:tcPr>
            <w:tcW w:w="236" w:type="dxa"/>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984" w:type="dxa"/>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color w:val="000000"/>
                <w:kern w:val="0"/>
                <w:sz w:val="18"/>
                <w:szCs w:val="18"/>
                <w:u w:val="none"/>
                <w:lang w:val="en-US" w:eastAsia="zh-CN" w:bidi="ar"/>
              </w:rPr>
              <w:t xml:space="preserve">11.09 </w:t>
            </w:r>
          </w:p>
        </w:tc>
        <w:tc>
          <w:tcPr>
            <w:tcW w:w="984" w:type="dxa"/>
            <w:gridSpan w:val="2"/>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3936" w:type="dxa"/>
            <w:gridSpan w:val="7"/>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color w:val="000000"/>
                <w:kern w:val="0"/>
                <w:sz w:val="18"/>
                <w:szCs w:val="18"/>
                <w:u w:val="none"/>
                <w:lang w:val="en-US" w:eastAsia="zh-CN" w:bidi="ar"/>
              </w:rPr>
              <w:t>项目投资回收期（年）（所得税后）</w:t>
            </w:r>
          </w:p>
        </w:tc>
        <w:tc>
          <w:tcPr>
            <w:tcW w:w="984" w:type="dxa"/>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983" w:type="dxa"/>
            <w:gridSpan w:val="2"/>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color w:val="000000"/>
                <w:kern w:val="0"/>
                <w:sz w:val="18"/>
                <w:szCs w:val="18"/>
                <w:u w:val="none"/>
                <w:lang w:val="en-US" w:eastAsia="zh-CN" w:bidi="ar"/>
              </w:rPr>
              <w:t xml:space="preserve">11.31 </w:t>
            </w:r>
          </w:p>
        </w:tc>
        <w:tc>
          <w:tcPr>
            <w:tcW w:w="942" w:type="dxa"/>
            <w:tcBorders>
              <w:top w:val="nil"/>
              <w:left w:val="nil"/>
              <w:bottom w:val="nil"/>
              <w:right w:val="nil"/>
            </w:tcBorders>
            <w:shd w:val="clear" w:color="auto" w:fill="auto"/>
            <w:noWrap/>
            <w:vAlign w:val="center"/>
          </w:tcPr>
          <w:p>
            <w:pPr>
              <w:keepNext w:val="false"/>
              <w:keepLines w:val="false"/>
              <w:pageBreakBefore w:val="false"/>
              <w:kinsoku/>
              <w:wordWrap/>
              <w:overflowPunct/>
              <w:topLinePunct w:val="false"/>
              <w:autoSpaceDE/>
              <w:autoSpaceDN/>
              <w:bidi w:val="false"/>
              <w:adjustRightInd/>
              <w:snapToGrid/>
              <w:spacing w:line="240" w:lineRule="auto"/>
              <w:jc w:val="center"/>
              <w:rPr>
                <w:rFonts w:hint="eastAsia" w:ascii="宋体" w:hAnsi="宋体" w:eastAsia="宋体" w:cs="宋体"/>
                <w:i w:val="false"/>
                <w:iCs w:val="false"/>
                <w:color w:val="000000"/>
                <w:sz w:val="18"/>
                <w:szCs w:val="18"/>
                <w:u w:val="none"/>
              </w:rPr>
            </w:pPr>
          </w:p>
        </w:tc>
      </w:tr>
    </w:tbl>
    <w:p>
      <w:pPr>
        <w:ind w:left="0" w:leftChars="0" w:firstLine="0" w:firstLineChars="0"/>
        <w:rPr>
          <w:rFonts w:hint="eastAsia" w:ascii="宋体" w:hAnsi="宋体" w:eastAsia="宋体" w:cs="宋体"/>
          <w:color w:val="auto"/>
          <w:sz w:val="28"/>
          <w:szCs w:val="28"/>
        </w:rPr>
      </w:pPr>
      <w:r>
        <w:rPr>
          <w:rFonts w:hint="eastAsia" w:ascii="宋体" w:hAnsi="宋体" w:eastAsia="宋体" w:cs="宋体"/>
          <w:color w:val="auto"/>
          <w:sz w:val="28"/>
          <w:szCs w:val="28"/>
        </w:rPr>
        <w:br w:type="page"/>
      </w:r>
    </w:p>
    <w:bookmarkStart w:id="148" w:name="_Toc8075"/>
    <w:bookmarkStart w:id="149" w:name="_Toc28353"/>
    <w:bookmarkStart w:id="150" w:name="_Toc16132"/>
    <w:p>
      <w:pPr>
        <w:keepNext w:val="false"/>
        <w:keepLines w:val="false"/>
        <w:pageBreakBefore w:val="false"/>
        <w:widowControl/>
        <w:kinsoku w:val="false"/>
        <w:wordWrap/>
        <w:overflowPunct/>
        <w:topLinePunct w:val="false"/>
        <w:autoSpaceDE w:val="false"/>
        <w:autoSpaceDN w:val="false"/>
        <w:bidi w:val="false"/>
        <w:adjustRightInd w:val="false"/>
        <w:snapToGrid w:val="false"/>
        <w:spacing w:line="360" w:lineRule="auto"/>
        <w:textAlignment w:val="baseline"/>
        <w:outlineLvl w:val="0"/>
        <w:rPr>
          <w:rFonts w:hint="eastAsia" w:ascii="宋体" w:hAnsi="宋体" w:eastAsia="宋体" w:cs="宋体"/>
          <w:b/>
          <w:bCs/>
          <w:i w:val="false"/>
          <w:iCs w:val="false"/>
          <w:color w:val="auto"/>
          <w:kern w:val="0"/>
          <w:sz w:val="28"/>
          <w:szCs w:val="28"/>
          <w:u w:val="none"/>
          <w:lang w:val="en-US" w:eastAsia="zh-CN"/>
        </w:rPr>
      </w:pPr>
      <w:r>
        <w:rPr>
          <w:rFonts w:hint="eastAsia" w:ascii="宋体" w:hAnsi="宋体" w:eastAsia="宋体" w:cs="宋体"/>
          <w:b/>
          <w:bCs/>
          <w:i w:val="false"/>
          <w:iCs w:val="false"/>
          <w:color w:val="auto"/>
          <w:kern w:val="0"/>
          <w:sz w:val="28"/>
          <w:szCs w:val="28"/>
          <w:u w:val="none"/>
          <w:lang w:val="en-US" w:eastAsia="zh-CN"/>
        </w:rPr>
        <w:t>附表7：还本付息表</w:t>
      </w:r>
      <w:bookmarkEnd w:id="148"/>
      <w:bookmarkEnd w:id="149"/>
      <w:bookmarkEnd w:id="150"/>
    </w:p>
    <w:tbl>
      <w:tblPr>
        <w:tblStyle w:val="00000a"/>
        <w:tblW w:w="0" w:type="auto"/>
        <w:tblInd w:w="11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12"/>
        <w:gridCol w:w="2145"/>
        <w:gridCol w:w="1020"/>
        <w:gridCol w:w="1438"/>
        <w:gridCol w:w="1438"/>
        <w:gridCol w:w="1438"/>
        <w:gridCol w:w="1438"/>
        <w:gridCol w:w="1438"/>
        <w:gridCol w:w="1438"/>
        <w:gridCol w:w="1441"/>
      </w:tblGrid>
      <w:tr>
        <w:trPr>
          <w:trHeight w:val="323" w:hRule="atLeast"/>
        </w:trPr>
        <w:tc>
          <w:tcPr>
            <w:tcW w:w="13946" w:type="dxa"/>
            <w:gridSpan w:val="10"/>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firstLine="0" w:firstLineChars="0"/>
              <w:jc w:val="right"/>
              <w:textAlignment w:val="center"/>
              <w:rPr>
                <w:rFonts w:hint="eastAsia" w:ascii="宋体" w:hAnsi="宋体" w:eastAsia="宋体" w:cs="宋体"/>
                <w:i w:val="false"/>
                <w:iCs w:val="false"/>
                <w:color w:val="000000"/>
                <w:kern w:val="0"/>
                <w:sz w:val="21"/>
                <w:szCs w:val="21"/>
                <w:u w:val="none"/>
                <w:lang w:val="en-US" w:eastAsia="zh-CN" w:bidi="ar"/>
              </w:rPr>
            </w:pPr>
            <w:r>
              <w:rPr>
                <w:rFonts w:hint="eastAsia" w:ascii="宋体" w:hAnsi="宋体" w:eastAsia="宋体" w:cs="宋体"/>
                <w:i w:val="false"/>
                <w:iCs w:val="false"/>
                <w:color w:val="000000"/>
                <w:kern w:val="0"/>
                <w:sz w:val="21"/>
                <w:szCs w:val="21"/>
                <w:u w:val="none"/>
                <w:lang w:val="en-US" w:eastAsia="zh-CN" w:bidi="ar"/>
              </w:rPr>
              <w:t>单位：万元</w:t>
            </w:r>
          </w:p>
        </w:tc>
      </w:tr>
      <w:tr>
        <w:trPr>
          <w:trHeight w:val="442" w:hRule="atLeast"/>
        </w:trPr>
        <w:tc>
          <w:tcPr>
            <w:tcW w:w="7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序号</w:t>
            </w:r>
          </w:p>
        </w:tc>
        <w:tc>
          <w:tcPr>
            <w:tcW w:w="21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项 目</w:t>
            </w:r>
          </w:p>
        </w:tc>
        <w:tc>
          <w:tcPr>
            <w:tcW w:w="10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合计</w:t>
            </w:r>
          </w:p>
        </w:tc>
        <w:tc>
          <w:tcPr>
            <w:tcW w:w="10069"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计算期</w:t>
            </w:r>
          </w:p>
        </w:tc>
      </w:tr>
      <w:tr>
        <w:trPr>
          <w:trHeight w:val="442" w:hRule="atLeast"/>
        </w:trPr>
        <w:tc>
          <w:tcPr>
            <w:tcW w:w="7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21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10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0.5建设期</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0.5</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2</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3</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4</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5</w:t>
            </w:r>
          </w:p>
        </w:tc>
        <w:tc>
          <w:tcPr>
            <w:tcW w:w="14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6</w:t>
            </w:r>
          </w:p>
        </w:tc>
      </w:tr>
      <w:tr>
        <w:trPr>
          <w:trHeight w:val="42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w:t>
            </w: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建设投资借款</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3200.00</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3200.00</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4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r>
      <w:tr>
        <w:trPr>
          <w:trHeight w:val="42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w:t>
            </w: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期初借款余额</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23460.00</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3200.00</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3100.00</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2880.00</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2660.00</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2430.00</w:t>
            </w:r>
          </w:p>
        </w:tc>
        <w:tc>
          <w:tcPr>
            <w:tcW w:w="14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2180.00</w:t>
            </w:r>
          </w:p>
        </w:tc>
      </w:tr>
      <w:tr>
        <w:trPr>
          <w:trHeight w:val="42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w:t>
            </w: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当期还本付息</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4262.68</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40.32</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179.38</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370.70</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359.61</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358.27</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366.17</w:t>
            </w:r>
          </w:p>
        </w:tc>
        <w:tc>
          <w:tcPr>
            <w:tcW w:w="14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373.07</w:t>
            </w:r>
          </w:p>
        </w:tc>
      </w:tr>
      <w:tr>
        <w:trPr>
          <w:trHeight w:val="42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color w:val="000000"/>
                <w:kern w:val="0"/>
                <w:sz w:val="18"/>
                <w:szCs w:val="18"/>
                <w:u w:val="none"/>
                <w:lang w:val="en-US" w:eastAsia="zh-CN" w:bidi="ar"/>
              </w:rPr>
              <w:t>1.2.1</w:t>
            </w: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其中：还本</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3200.00</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100.00</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220.00</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220.00</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230.00</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250.00</w:t>
            </w:r>
          </w:p>
        </w:tc>
        <w:tc>
          <w:tcPr>
            <w:tcW w:w="14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270.00</w:t>
            </w:r>
          </w:p>
        </w:tc>
      </w:tr>
      <w:tr>
        <w:trPr>
          <w:trHeight w:val="42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color w:val="000000"/>
                <w:kern w:val="0"/>
                <w:sz w:val="18"/>
                <w:szCs w:val="18"/>
                <w:u w:val="none"/>
                <w:lang w:val="en-US" w:eastAsia="zh-CN" w:bidi="ar"/>
              </w:rPr>
              <w:t>1.2.2</w:t>
            </w: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付息</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1062.68</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40.32</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79.38</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150.70</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139.61</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128.27</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116.17</w:t>
            </w:r>
          </w:p>
        </w:tc>
        <w:tc>
          <w:tcPr>
            <w:tcW w:w="14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103.07</w:t>
            </w:r>
          </w:p>
        </w:tc>
      </w:tr>
      <w:tr>
        <w:trPr>
          <w:trHeight w:val="42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w:t>
            </w: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期末借款余额</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3200.00</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3100.00</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2880.00</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2660.00</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2430.00</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2180.00</w:t>
            </w:r>
          </w:p>
        </w:tc>
        <w:tc>
          <w:tcPr>
            <w:tcW w:w="14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1910.00</w:t>
            </w:r>
          </w:p>
        </w:tc>
      </w:tr>
      <w:tr>
        <w:trPr>
          <w:trHeight w:val="42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default"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color w:val="000000"/>
                <w:kern w:val="0"/>
                <w:sz w:val="18"/>
                <w:szCs w:val="18"/>
                <w:u w:val="none"/>
                <w:lang w:val="en-US" w:eastAsia="zh-CN" w:bidi="ar"/>
              </w:rPr>
              <w:t>2</w:t>
            </w: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可用于还本付息的资金</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4804.37</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210.34</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417.26</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418.36</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419.46</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420.56</w:t>
            </w:r>
          </w:p>
        </w:tc>
        <w:tc>
          <w:tcPr>
            <w:tcW w:w="14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419.46</w:t>
            </w:r>
          </w:p>
        </w:tc>
      </w:tr>
      <w:tr>
        <w:trPr>
          <w:trHeight w:val="420" w:hRule="atLeast"/>
        </w:trPr>
        <w:tc>
          <w:tcPr>
            <w:tcW w:w="7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指标</w:t>
            </w: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利息备付率</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4.52</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2.65</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2.77</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3.00</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3.27</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3.62</w:t>
            </w:r>
          </w:p>
        </w:tc>
        <w:tc>
          <w:tcPr>
            <w:tcW w:w="14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4.07</w:t>
            </w:r>
          </w:p>
        </w:tc>
      </w:tr>
      <w:tr>
        <w:trPr>
          <w:trHeight w:val="420" w:hRule="atLeast"/>
        </w:trPr>
        <w:tc>
          <w:tcPr>
            <w:tcW w:w="7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偿债备付率</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1.13</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1.17</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1.13</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1.16</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1.17</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1.15</w:t>
            </w:r>
          </w:p>
        </w:tc>
        <w:tc>
          <w:tcPr>
            <w:tcW w:w="14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1.12</w:t>
            </w:r>
          </w:p>
        </w:tc>
      </w:tr>
    </w:tbl>
    <w:p>
      <w:pPr>
        <w:rPr/>
      </w:pPr>
      <w:r>
        <w:rPr/>
        <w:br w:type="page"/>
      </w:r>
    </w:p>
    <w:p>
      <w:pPr>
        <w:keepNext w:val="false"/>
        <w:keepLines w:val="false"/>
        <w:pageBreakBefore w:val="false"/>
        <w:widowControl/>
        <w:kinsoku w:val="false"/>
        <w:wordWrap/>
        <w:overflowPunct/>
        <w:topLinePunct w:val="false"/>
        <w:autoSpaceDE w:val="false"/>
        <w:autoSpaceDN w:val="false"/>
        <w:bidi w:val="false"/>
        <w:adjustRightInd w:val="false"/>
        <w:snapToGrid w:val="false"/>
        <w:spacing w:line="360" w:lineRule="auto"/>
        <w:textAlignment w:val="baseline"/>
        <w:outlineLvl w:val="9"/>
        <w:rPr>
          <w:rFonts w:hint="eastAsia" w:ascii="宋体" w:hAnsi="宋体" w:eastAsia="宋体" w:cs="宋体"/>
          <w:b/>
          <w:bCs/>
          <w:i w:val="false"/>
          <w:iCs w:val="false"/>
          <w:color w:val="auto"/>
          <w:kern w:val="0"/>
          <w:sz w:val="28"/>
          <w:szCs w:val="28"/>
          <w:u w:val="none"/>
          <w:lang w:val="en-US" w:eastAsia="zh-CN"/>
        </w:rPr>
      </w:pPr>
      <w:r>
        <w:rPr>
          <w:rFonts w:hint="eastAsia" w:ascii="宋体" w:hAnsi="宋体" w:eastAsia="宋体" w:cs="宋体"/>
          <w:b/>
          <w:bCs/>
          <w:i w:val="false"/>
          <w:iCs w:val="false"/>
          <w:color w:val="auto"/>
          <w:kern w:val="0"/>
          <w:sz w:val="28"/>
          <w:szCs w:val="28"/>
          <w:u w:val="none"/>
          <w:lang w:val="en-US" w:eastAsia="zh-CN"/>
        </w:rPr>
        <w:t>附表7：还本付息表</w:t>
      </w:r>
    </w:p>
    <w:tbl>
      <w:tblPr>
        <w:tblStyle w:val="00000a"/>
        <w:tblW w:w="0" w:type="auto"/>
        <w:tblInd w:w="11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62"/>
        <w:gridCol w:w="2085"/>
        <w:gridCol w:w="1200"/>
        <w:gridCol w:w="1633"/>
        <w:gridCol w:w="1633"/>
        <w:gridCol w:w="1633"/>
        <w:gridCol w:w="1633"/>
        <w:gridCol w:w="1633"/>
        <w:gridCol w:w="1634"/>
      </w:tblGrid>
      <w:tr>
        <w:trPr>
          <w:trHeight w:val="323" w:hRule="atLeast"/>
        </w:trPr>
        <w:tc>
          <w:tcPr>
            <w:tcW w:w="13946" w:type="dxa"/>
            <w:gridSpan w:val="9"/>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firstLine="0" w:firstLineChars="0"/>
              <w:jc w:val="right"/>
              <w:textAlignment w:val="center"/>
              <w:rPr>
                <w:rFonts w:hint="eastAsia" w:ascii="宋体" w:hAnsi="宋体" w:eastAsia="宋体" w:cs="宋体"/>
                <w:i w:val="false"/>
                <w:iCs w:val="false"/>
                <w:color w:val="000000"/>
                <w:kern w:val="0"/>
                <w:sz w:val="21"/>
                <w:szCs w:val="21"/>
                <w:u w:val="none"/>
                <w:lang w:val="en-US" w:eastAsia="zh-CN" w:bidi="ar"/>
              </w:rPr>
            </w:pPr>
            <w:r>
              <w:rPr>
                <w:rFonts w:hint="eastAsia" w:ascii="宋体" w:hAnsi="宋体" w:eastAsia="宋体" w:cs="宋体"/>
                <w:i w:val="false"/>
                <w:iCs w:val="false"/>
                <w:color w:val="000000"/>
                <w:kern w:val="0"/>
                <w:sz w:val="21"/>
                <w:szCs w:val="21"/>
                <w:u w:val="none"/>
                <w:lang w:val="en-US" w:eastAsia="zh-CN" w:bidi="ar"/>
              </w:rPr>
              <w:t>单位：万元</w:t>
            </w:r>
          </w:p>
        </w:tc>
      </w:tr>
      <w:tr>
        <w:trPr>
          <w:trHeight w:val="420" w:hRule="atLeast"/>
        </w:trPr>
        <w:tc>
          <w:tcPr>
            <w:tcW w:w="8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序号</w:t>
            </w:r>
          </w:p>
        </w:tc>
        <w:tc>
          <w:tcPr>
            <w:tcW w:w="20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项 目</w:t>
            </w:r>
          </w:p>
        </w:tc>
        <w:tc>
          <w:tcPr>
            <w:tcW w:w="12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合计</w:t>
            </w:r>
          </w:p>
        </w:tc>
        <w:tc>
          <w:tcPr>
            <w:tcW w:w="979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计算期</w:t>
            </w:r>
          </w:p>
        </w:tc>
      </w:tr>
      <w:tr>
        <w:trPr>
          <w:trHeight w:val="420" w:hRule="atLeast"/>
        </w:trPr>
        <w:tc>
          <w:tcPr>
            <w:tcW w:w="8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20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7</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8</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9</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10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11</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12</w:t>
            </w:r>
          </w:p>
        </w:tc>
      </w:tr>
      <w:tr>
        <w:trPr>
          <w:trHeight w:val="420" w:hRule="atLeast"/>
        </w:trPr>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建设投资借款</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3200.00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r>
      <w:tr>
        <w:trPr>
          <w:trHeight w:val="420" w:hRule="atLeast"/>
        </w:trPr>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期初借款余额</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23460.00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1910.00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1640.00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1340.00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1040.00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710.00</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370.00</w:t>
            </w:r>
          </w:p>
        </w:tc>
      </w:tr>
      <w:tr>
        <w:trPr>
          <w:trHeight w:val="420" w:hRule="atLeast"/>
        </w:trPr>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当期还本付息</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4262.68</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359.46</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375.10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359.98</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374.10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367.22</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379.32</w:t>
            </w:r>
          </w:p>
        </w:tc>
      </w:tr>
      <w:tr>
        <w:trPr>
          <w:trHeight w:val="420" w:hRule="atLeast"/>
        </w:trPr>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color w:val="000000"/>
                <w:kern w:val="0"/>
                <w:sz w:val="18"/>
                <w:szCs w:val="18"/>
                <w:u w:val="none"/>
                <w:lang w:val="en-US" w:eastAsia="zh-CN" w:bidi="ar"/>
              </w:rPr>
              <w:t>1.2.1</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其中：还本</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3200.00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270.00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300.00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300.00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330.00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340.00</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370.00</w:t>
            </w:r>
          </w:p>
        </w:tc>
      </w:tr>
      <w:tr>
        <w:trPr>
          <w:trHeight w:val="420" w:hRule="atLeast"/>
        </w:trPr>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color w:val="000000"/>
                <w:kern w:val="0"/>
                <w:sz w:val="18"/>
                <w:szCs w:val="18"/>
                <w:u w:val="none"/>
                <w:lang w:val="en-US" w:eastAsia="zh-CN" w:bidi="ar"/>
              </w:rPr>
              <w:t>1.2.2</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付息</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1062.68</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89.46</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75.10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59.98</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44.10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27.22</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9.32</w:t>
            </w:r>
          </w:p>
        </w:tc>
      </w:tr>
      <w:tr>
        <w:trPr>
          <w:trHeight w:val="420" w:hRule="atLeast"/>
        </w:trPr>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期末借款余额</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1640.00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1340.00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1040.00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710.00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370.00</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p>
        </w:tc>
      </w:tr>
      <w:tr>
        <w:trPr>
          <w:trHeight w:val="420" w:hRule="atLeast"/>
        </w:trPr>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default"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color w:val="000000"/>
                <w:kern w:val="0"/>
                <w:sz w:val="18"/>
                <w:szCs w:val="18"/>
                <w:u w:val="none"/>
                <w:lang w:val="en-US" w:eastAsia="zh-CN" w:bidi="ar"/>
              </w:rPr>
              <w:t>2</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可用于还本付息的资金</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4804.37</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418.73</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418.01</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417.29</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416.57</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414.52</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413.82</w:t>
            </w:r>
          </w:p>
        </w:tc>
      </w:tr>
      <w:tr>
        <w:trPr>
          <w:trHeight w:val="420" w:hRule="atLeast"/>
        </w:trPr>
        <w:tc>
          <w:tcPr>
            <w:tcW w:w="8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指标</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利息备付率</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4.52</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4.68</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5.57</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6.96</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9.45</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15.23</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44.38</w:t>
            </w:r>
          </w:p>
        </w:tc>
      </w:tr>
      <w:tr>
        <w:trPr>
          <w:trHeight w:val="420" w:hRule="atLeast"/>
        </w:trPr>
        <w:tc>
          <w:tcPr>
            <w:tcW w:w="8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偿债备付率</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1.13</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1.16</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1.11</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1.16</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1.11</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1.13</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1.09</w:t>
            </w:r>
          </w:p>
        </w:tc>
      </w:tr>
    </w:tbl>
    <w:p>
      <w:pPr>
        <w:rPr>
          <w:rFonts w:hint="eastAsia"/>
          <w:lang w:val="en-US" w:eastAsia="zh-CN"/>
        </w:rPr>
      </w:pPr>
    </w:p>
    <w:sectPr>
      <w:pgSz w:w="16838" w:h="11906" w:orient="landscape"/>
      <w:pgMar w:top="1610" w:right="1440" w:bottom="1134" w:left="1440"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endnotes.xml><?xml version="1.0" encoding="utf-8"?>
<w:endnotes xmlns:w="http://schemas.openxmlformats.org/wordprocessingml/2006/main">
  <w:endnote w:type="continuationSeparator" w:id="0">
    <w:p>
      <w:pPr>
        <w:spacing w:line="240" w:lineRule="auto"/>
        <w:rPr/>
      </w:pPr>
      <w:r>
        <w:rPr/>
        <w:continuationSeparator/>
      </w:r>
    </w:p>
  </w:endnote>
  <w:endnote w:type="separator" w:id="1">
    <w:p>
      <w:pPr>
        <w:spacing w:line="240" w:lineRule="auto"/>
        <w:rPr/>
      </w:pPr>
      <w:r>
        <w:rPr/>
        <w:separator/>
      </w:r>
    </w:p>
  </w:endnote>
</w:endnotes>
</file>

<file path=word/fontTable.xml><?xml version="1.0" encoding="utf-8"?>
<w:fonts xmlns:w="http://schemas.openxmlformats.org/wordprocessingml/2006/main">
  <w:font w:name="Arial">
    <w:panose1 w:val="020B0604020202020204"/>
    <w:charset w:val="01" w:characterSet="ISO-8859-1"/>
    <w:family w:val="swiss"/>
    <w:pitch w:val="default"/>
    <w:sig w:usb0="E0002EFF" w:usb1="C000785B" w:usb2="00000009" w:usb3="00000000" w:csb0="400001FF" w:csb1="FFFF0000"/>
  </w:font>
  <w:font w:name="黑体">
    <w:panose1 w:val="02010609060101010101"/>
    <w:charset w:val="86" w:characterSet="ISO-8859-1"/>
    <w:family w:val="auto"/>
    <w:pitch w:val="default"/>
    <w:sig w:usb0="800002BF" w:usb1="38CF7CFA" w:usb2="00000016" w:usb3="00000000" w:csb0="00040001" w:csb1="00000000"/>
  </w:font>
  <w:font w:name="Symbol">
    <w:panose1 w:val="05050102010706020507"/>
    <w:charset w:val="02" w:characterSet="ISO-8859-1"/>
    <w:family w:val="roman"/>
    <w:pitch w:val="default"/>
    <w:sig w:usb0="00000000" w:usb1="00000000" w:usb2="00000000" w:usb3="00000000" w:csb0="80000000" w:csb1="00000000"/>
  </w:font>
  <w:font w:name="楷体_GB2312">
    <w:altName w:val="楷体"/>
    <w:panose1 w:val="02010609030101010101"/>
    <w:charset w:val="86" w:characterSet="ISO-8859-1"/>
    <w:family w:val="modern"/>
    <w:pitch w:val="default"/>
    <w:sig w:usb0="00000000" w:usb1="00000000" w:usb2="00000000" w:usb3="00000000" w:csb0="00040000" w:csb1="00000000"/>
  </w:font>
  <w:font w:name="Courier New">
    <w:panose1 w:val="02070309020205020404"/>
    <w:charset w:val="01" w:characterSet="ISO-8859-1"/>
    <w:family w:val="modern"/>
    <w:pitch w:val="default"/>
    <w:sig w:usb0="E0002EFF" w:usb1="C0007843" w:usb2="00000009" w:usb3="00000000" w:csb0="400001FF" w:csb1="FFFF0000"/>
  </w:font>
  <w:font w:name="宋体">
    <w:panose1 w:val="02010600030101010101"/>
    <w:charset w:val="50" w:characterSet="ISO-8859-1"/>
    <w:family w:val="auto"/>
    <w:pitch w:val="default"/>
    <w:sig w:usb0="00000203" w:usb1="288F0000" w:usb2="00000006" w:usb3="00000000" w:csb0="00040001" w:csb1="00000000"/>
  </w:font>
  <w:font w:name="仿宋">
    <w:panose1 w:val="02010609060101010101"/>
    <w:charset w:val="86" w:characterSet="ISO-8859-1"/>
    <w:family w:val="auto"/>
    <w:pitch w:val="default"/>
    <w:sig w:usb0="800002BF" w:usb1="38CF7CFA" w:usb2="00000016" w:usb3="00000000" w:csb0="00040001" w:csb1="00000000"/>
  </w:font>
  <w:font w:name="楷体">
    <w:panose1 w:val="02010609060101010101"/>
    <w:charset w:val="86" w:characterSet="ISO-8859-1"/>
    <w:family w:val="auto"/>
    <w:pitch w:val="default"/>
    <w:sig w:usb0="800002BF" w:usb1="38CF7CFA" w:usb2="00000016" w:usb3="00000000" w:csb0="00040001" w:csb1="00000000"/>
  </w:font>
  <w:font w:name="仿宋_GB2312">
    <w:altName w:val="仿宋"/>
    <w:panose1 w:val="02010609030101010101"/>
    <w:charset w:val="86" w:characterSet="ISO-8859-1"/>
    <w:family w:val="modern"/>
    <w:pitch w:val="default"/>
    <w:sig w:usb0="00000000" w:usb1="00000000" w:usb2="00000000" w:usb3="00000000" w:csb0="00040000" w:csb1="00000000"/>
  </w:font>
  <w:font w:name="Calibri">
    <w:panose1 w:val="020F0502020204030204"/>
    <w:charset w:val="00" w:characterSet="ISO-8859-1"/>
    <w:family w:val="swiss"/>
    <w:pitch w:val="default"/>
    <w:sig w:usb0="E4002EFF" w:usb1="C000247B" w:usb2="00000009" w:usb3="00000000" w:csb0="200001FF" w:csb1="00000000"/>
  </w:font>
  <w:font w:name="Wingdings">
    <w:panose1 w:val="05000000000000000000"/>
    <w:charset w:val="02" w:characterSet="ISO-8859-1"/>
    <w:family w:val="auto"/>
    <w:pitch w:val="default"/>
    <w:sig w:usb0="00000000" w:usb1="00000000" w:usb2="00000000" w:usb3="00000000" w:csb0="80000000" w:csb1="00000000"/>
  </w:font>
  <w:font w:name="Times New Roman">
    <w:panose1 w:val="02020603050405020304"/>
    <w:charset w:val="80" w:characterSet="ISO-8859-1"/>
    <w:family w:val="auto"/>
    <w:pitch w:val="default"/>
    <w:sig w:usb0="E0002EFF" w:usb1="C000785B" w:usb2="00000009" w:usb3="00000000" w:csb0="400001FF" w:csb1="FFFF0000"/>
  </w:font>
</w:fonts>
</file>

<file path=word/footer1.xml><?xml version="1.0" encoding="utf-8"?>
<w:ftr xmlns:a="http://schemas.openxmlformats.org/drawingml/2006/main" xmlns:w="http://schemas.openxmlformats.org/wordprocessingml/2006/main" xmlns:wps="http://schemas.microsoft.com/office/word/2010/wordprocessingShape" xmlns:wp="http://schemas.openxmlformats.org/drawingml/2006/wordprocessingDrawing">
  <w:p>
    <w:pPr>
      <w:pStyle w:val="00000f"/>
      <w:rPr/>
    </w:pPr>
    <w:r>
      <w:rPr>
        <w:sz w:val="18"/>
      </w:rPr>
      <w:drawing>
        <wp:anchor distT="0" distB="0" distL="114300" distR="114300" simplePos="false" relativeHeight="251659264" behindDoc="false" locked="false" layoutInCell="true" allowOverlap="true">
          <wp:simplePos x="0" y="0"/>
          <wp:positionH relativeFrom="margin">
            <wp:align>center</wp:align>
          </wp:positionH>
          <wp:positionV relativeFrom="paragraph">
            <wp:posOffset>0</wp:posOffset>
          </wp:positionV>
          <wp:extent cx="1828800" cy="1828800"/>
          <wp:effectExtent l="0" t="0" r="0" b="0"/>
          <wp:wrapNone/>
          <wp:docPr id="65" name="文本框 3"/>
          <wp:cNvGraphicFramePr/>
          <a:graphic>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00000f"/>
                        <w:rPr/>
                      </w:pPr>
                      <w:r>
                        <w:rPr/>
                        <w:fldChar w:fldCharType="begin"/>
                      </w:r>
                      <w:r>
                        <w:rPr/>
                        <w:instrText xml:space="preserve"> PAGE  \* MERGEFORMAT </w:instrText>
                      </w:r>
                      <w:r>
                        <w:rPr/>
                        <w:fldChar w:fldCharType="separate"/>
                      </w:r>
                      <w:r>
                        <w:rPr/>
                        <w:t>1</w:t>
                      </w:r>
                      <w:r>
                        <w:rPr/>
                        <w:fldChar w:fldCharType="end"/>
                      </w:r>
                    </w:p>
                  </w:txbxContent>
                </wps:txbx>
                <wps:bodyPr rot="0" spcFirstLastPara="false" vertOverflow="overflow" horzOverflow="overflow" vert="horz" wrap="none" lIns="0" tIns="0" rIns="0" bIns="0" numCol="1" spcCol="0" rtlCol="false" fromWordArt="false" anchor="t" anchorCtr="false" forceAA="false" upright="false" compatLnSpc="true">
                  <a:spAutoFit/>
                </wps:bodyPr>
              </wps:wsp>
            </a:graphicData>
          </a:graphic>
        </wp:anchor>
      </w:drawing>
    </w:r>
  </w:p>
</w:ftr>
</file>

<file path=word/footnotes.xml><?xml version="1.0" encoding="utf-8"?>
<w:footnotes xmlns:w="http://schemas.openxmlformats.org/wordprocessingml/2006/main">
  <w:footnote w:type="continuationSeparator" w:id="0">
    <w:p>
      <w:pPr>
        <w:spacing w:line="240" w:lineRule="auto"/>
        <w:rPr/>
      </w:pPr>
      <w:r>
        <w:rPr/>
        <w:continuationSeparator/>
      </w:r>
    </w:p>
  </w:footnote>
  <w:footnote w:type="separator" w:id="1">
    <w:p>
      <w:pPr>
        <w:spacing w:line="240" w:lineRule="auto"/>
        <w:rPr/>
      </w:pPr>
      <w:r>
        <w:rPr/>
        <w:separator/>
      </w:r>
    </w:p>
  </w:footnote>
</w:footnotes>
</file>

<file path=word/settings.xml><?xml version="1.0" encoding="utf-8"?>
<w:settings xmlns:w="http://schemas.openxmlformats.org/wordprocessingml/2006/main">
  <w:zoom w:percent="100"/>
  <w:embedSystemFonts/>
  <w:bordersDoNotSurroundHeader w:val="false"/>
  <w:bordersDoNotSurroundFooter w:val="false"/>
  <w:documentProtection w:enforcement="false"/>
  <w:defaultTabStop w:val="420"/>
  <w:drawingGridVerticalSpacing w:val="156"/>
  <w:displayHorizontalDrawingGridEvery w:val="1"/>
  <w:displayVerticalDrawingGridEvery w:val="1"/>
  <w:noPunctuationKerning/>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doNotFlipMirrorIndents" w:uri="http://schemas.microsoft.com/office/word" w:val="1"/>
    <w:compatSetting w:name="overrideTableStyleFontSizeAndJustification" w:uri="http://schemas.microsoft.com/office/word" w:val="1"/>
    <w:compatSetting w:name="enableOpenTypeFeatures" w:uri="http://schemas.microsoft.com/office/word" w:val="1"/>
  </w:compat>
  <w:docVars>
    <w:docVar w:name="commondata" w:val="eyJoZGlkIjoiNTcyYjdlYzJmZmM5MjgxM2FiMTg0MDhiYjQ1ZTA2N2YifQ=="/>
    <w:docVar w:name="KSO_WPS_MARK_KEY" w:val="74114926-c3c3-48e1-ab3c-148467b7437e"/>
  </w:docVars>
  <w:rsids>
    <w:rsidRoot w:val="00000000"/>
    <w:rsid w:val="00000871"/>
    <w:rsid w:val="00276E33"/>
    <w:rsid w:val="003A6B66"/>
    <w:rsid w:val="00AA3CEC"/>
    <w:rsid w:val="00F00AF2"/>
    <w:rsid w:val="00F86A1F"/>
    <w:rsid w:val="011854D6"/>
    <w:rsid w:val="01233A9E"/>
    <w:rsid w:val="01590227"/>
    <w:rsid w:val="017405AF"/>
    <w:rsid w:val="01A2719B"/>
    <w:rsid w:val="028125AD"/>
    <w:rsid w:val="030E5A2F"/>
    <w:rsid w:val="036B7036"/>
    <w:rsid w:val="03766107"/>
    <w:rsid w:val="03B31109"/>
    <w:rsid w:val="03EF5EB9"/>
    <w:rsid w:val="047B1719"/>
    <w:rsid w:val="049F51EA"/>
    <w:rsid w:val="053E00D1"/>
    <w:rsid w:val="058F1702"/>
    <w:rsid w:val="05AD007F"/>
    <w:rsid w:val="05D666A6"/>
    <w:rsid w:val="05EB4D05"/>
    <w:rsid w:val="0622270A"/>
    <w:rsid w:val="072D2F81"/>
    <w:rsid w:val="07612484"/>
    <w:rsid w:val="08017F69"/>
    <w:rsid w:val="089B216C"/>
    <w:rsid w:val="08A234FA"/>
    <w:rsid w:val="08AA23AF"/>
    <w:rsid w:val="08B31F1F"/>
    <w:rsid w:val="09104908"/>
    <w:rsid w:val="093920B1"/>
    <w:rsid w:val="093F0D49"/>
    <w:rsid w:val="099F4BAF"/>
    <w:rsid w:val="09E85885"/>
    <w:rsid w:val="0A5F5B47"/>
    <w:rsid w:val="0A882AFE"/>
    <w:rsid w:val="0ACA55BE"/>
    <w:rsid w:val="0B3643CE"/>
    <w:rsid w:val="0C1F6495"/>
    <w:rsid w:val="0CA710DF"/>
    <w:rsid w:val="0CFB142B"/>
    <w:rsid w:val="0DFF01A7"/>
    <w:rsid w:val="0E0F5966"/>
    <w:rsid w:val="0E2A765C"/>
    <w:rsid w:val="0E325320"/>
    <w:rsid w:val="0E7771D7"/>
    <w:rsid w:val="0EF40828"/>
    <w:rsid w:val="0F38025F"/>
    <w:rsid w:val="0F9E1CEC"/>
    <w:rsid w:val="10262C63"/>
    <w:rsid w:val="113D0264"/>
    <w:rsid w:val="11D861DF"/>
    <w:rsid w:val="11DD2029"/>
    <w:rsid w:val="121A05A5"/>
    <w:rsid w:val="130848A2"/>
    <w:rsid w:val="130D1EB8"/>
    <w:rsid w:val="132F795F"/>
    <w:rsid w:val="133728C5"/>
    <w:rsid w:val="13707696"/>
    <w:rsid w:val="137B4E47"/>
    <w:rsid w:val="13F319E8"/>
    <w:rsid w:val="13FB7F63"/>
    <w:rsid w:val="144933C4"/>
    <w:rsid w:val="14A32263"/>
    <w:rsid w:val="14AA20B4"/>
    <w:rsid w:val="151E7BE7"/>
    <w:rsid w:val="155B515D"/>
    <w:rsid w:val="15747FCD"/>
    <w:rsid w:val="15D45137"/>
    <w:rsid w:val="15FE1365"/>
    <w:rsid w:val="163836F0"/>
    <w:rsid w:val="163D0D06"/>
    <w:rsid w:val="16534086"/>
    <w:rsid w:val="16574965"/>
    <w:rsid w:val="166B68BC"/>
    <w:rsid w:val="166C09FE"/>
    <w:rsid w:val="16897AA8"/>
    <w:rsid w:val="170535D2"/>
    <w:rsid w:val="178C784F"/>
    <w:rsid w:val="17C04584"/>
    <w:rsid w:val="17D95B0F"/>
    <w:rsid w:val="18123EA2"/>
    <w:rsid w:val="1A12131B"/>
    <w:rsid w:val="1A156DAE"/>
    <w:rsid w:val="1A1846E1"/>
    <w:rsid w:val="1A424B3D"/>
    <w:rsid w:val="1A452F93"/>
    <w:rsid w:val="1A705206"/>
    <w:rsid w:val="1A8707A2"/>
    <w:rsid w:val="1A9315F3"/>
    <w:rsid w:val="1ACD08AB"/>
    <w:rsid w:val="1AFD00CB"/>
    <w:rsid w:val="1B1A33C4"/>
    <w:rsid w:val="1B6A5707"/>
    <w:rsid w:val="1B7A0CC2"/>
    <w:rsid w:val="1BBF5DF0"/>
    <w:rsid w:val="1BEA2D97"/>
    <w:rsid w:val="1C817B9F"/>
    <w:rsid w:val="1CB1349D"/>
    <w:rsid w:val="1CE95744"/>
    <w:rsid w:val="1D531DAF"/>
    <w:rsid w:val="1E1E766F"/>
    <w:rsid w:val="1E36161B"/>
    <w:rsid w:val="1E9E4585"/>
    <w:rsid w:val="1EC41FC5"/>
    <w:rsid w:val="1EF205A4"/>
    <w:rsid w:val="1F026649"/>
    <w:rsid w:val="1F0C3210"/>
    <w:rsid w:val="204719C1"/>
    <w:rsid w:val="206C2DC3"/>
    <w:rsid w:val="213F0657"/>
    <w:rsid w:val="217512E3"/>
    <w:rsid w:val="226338A3"/>
    <w:rsid w:val="22F664C5"/>
    <w:rsid w:val="23A14683"/>
    <w:rsid w:val="23BE3486"/>
    <w:rsid w:val="23D56D8B"/>
    <w:rsid w:val="23DB7500"/>
    <w:rsid w:val="244905A6"/>
    <w:rsid w:val="24977834"/>
    <w:rsid w:val="24A26904"/>
    <w:rsid w:val="24BC729A"/>
    <w:rsid w:val="24EE4B38"/>
    <w:rsid w:val="24F06F8E"/>
    <w:rsid w:val="25381095"/>
    <w:rsid w:val="253B4663"/>
    <w:rsid w:val="25542B36"/>
    <w:rsid w:val="259605E0"/>
    <w:rsid w:val="26235823"/>
    <w:rsid w:val="26377520"/>
    <w:rsid w:val="269C55D5"/>
    <w:rsid w:val="269F1099"/>
    <w:rsid w:val="270C62B7"/>
    <w:rsid w:val="279278A0"/>
    <w:rsid w:val="280451E0"/>
    <w:rsid w:val="2838132E"/>
    <w:rsid w:val="283F16DD"/>
    <w:rsid w:val="284D7A15"/>
    <w:rsid w:val="28C8445F"/>
    <w:rsid w:val="28DE0127"/>
    <w:rsid w:val="295220ED"/>
    <w:rsid w:val="29AD2DF9"/>
    <w:rsid w:val="29E4176D"/>
    <w:rsid w:val="2A0E0598"/>
    <w:rsid w:val="2A4C284B"/>
    <w:rsid w:val="2A9F5694"/>
    <w:rsid w:val="2B202325"/>
    <w:rsid w:val="2B844FB6"/>
    <w:rsid w:val="2BFD08C4"/>
    <w:rsid w:val="2C4C35F9"/>
    <w:rsid w:val="2C525485"/>
    <w:rsid w:val="2C680433"/>
    <w:rsid w:val="2CA60F5C"/>
    <w:rsid w:val="2CDF7FCA"/>
    <w:rsid w:val="2D664671"/>
    <w:rsid w:val="2D7A1670"/>
    <w:rsid w:val="2D990F72"/>
    <w:rsid w:val="2F8E3583"/>
    <w:rsid w:val="2FFD2D9D"/>
    <w:rsid w:val="303932A5"/>
    <w:rsid w:val="30444D13"/>
    <w:rsid w:val="31644EEA"/>
    <w:rsid w:val="317732C2"/>
    <w:rsid w:val="3246740A"/>
    <w:rsid w:val="32827D75"/>
    <w:rsid w:val="328C4750"/>
    <w:rsid w:val="32B515DD"/>
    <w:rsid w:val="33071375"/>
    <w:rsid w:val="33185FE3"/>
    <w:rsid w:val="3337290D"/>
    <w:rsid w:val="346F60D7"/>
    <w:rsid w:val="34931537"/>
    <w:rsid w:val="34AB04B7"/>
    <w:rsid w:val="35186A4E"/>
    <w:rsid w:val="351F2F64"/>
    <w:rsid w:val="35260DFF"/>
    <w:rsid w:val="35E06B6A"/>
    <w:rsid w:val="35F26FC0"/>
    <w:rsid w:val="369E5C39"/>
    <w:rsid w:val="36FD79CA"/>
    <w:rsid w:val="37737C8C"/>
    <w:rsid w:val="37C52BDE"/>
    <w:rsid w:val="37DE7398"/>
    <w:rsid w:val="383C09C6"/>
    <w:rsid w:val="384C5A92"/>
    <w:rsid w:val="38696D18"/>
    <w:rsid w:val="386E0C42"/>
    <w:rsid w:val="38D570C3"/>
    <w:rsid w:val="394C4C39"/>
    <w:rsid w:val="3960579A"/>
    <w:rsid w:val="397F0B6A"/>
    <w:rsid w:val="39E21E54"/>
    <w:rsid w:val="3A993EAE"/>
    <w:rsid w:val="3B922EDF"/>
    <w:rsid w:val="3BA526F6"/>
    <w:rsid w:val="3C027033"/>
    <w:rsid w:val="3C8446EA"/>
    <w:rsid w:val="3D0F66A9"/>
    <w:rsid w:val="3D8F1598"/>
    <w:rsid w:val="3DB80AEF"/>
    <w:rsid w:val="3DC01751"/>
    <w:rsid w:val="3DF80EEB"/>
    <w:rsid w:val="3EDB4A95"/>
    <w:rsid w:val="3F185CE9"/>
    <w:rsid w:val="3F565EE8"/>
    <w:rsid w:val="3F8418F6"/>
    <w:rsid w:val="3FA94B93"/>
    <w:rsid w:val="3FE73128"/>
    <w:rsid w:val="409A6AE6"/>
    <w:rsid w:val="40F97472"/>
    <w:rsid w:val="41061B71"/>
    <w:rsid w:val="41475031"/>
    <w:rsid w:val="419E1093"/>
    <w:rsid w:val="41C2018E"/>
    <w:rsid w:val="41D852BC"/>
    <w:rsid w:val="41ED05C6"/>
    <w:rsid w:val="42312C1E"/>
    <w:rsid w:val="42894808"/>
    <w:rsid w:val="42A9218F"/>
    <w:rsid w:val="42AF56AF"/>
    <w:rsid w:val="4352404F"/>
    <w:rsid w:val="43B62A59"/>
    <w:rsid w:val="43DD111E"/>
    <w:rsid w:val="449F0313"/>
    <w:rsid w:val="453749EF"/>
    <w:rsid w:val="4545387C"/>
    <w:rsid w:val="45B24076"/>
    <w:rsid w:val="45BB22F1"/>
    <w:rsid w:val="462C66C9"/>
    <w:rsid w:val="465A0995"/>
    <w:rsid w:val="465F41FD"/>
    <w:rsid w:val="474E2E70"/>
    <w:rsid w:val="47A5361A"/>
    <w:rsid w:val="47E946A7"/>
    <w:rsid w:val="47FE76D1"/>
    <w:rsid w:val="4805359A"/>
    <w:rsid w:val="481E3C65"/>
    <w:rsid w:val="484916ED"/>
    <w:rsid w:val="48757D08"/>
    <w:rsid w:val="48D12A65"/>
    <w:rsid w:val="4965742B"/>
    <w:rsid w:val="49CE4465"/>
    <w:rsid w:val="4A196CF5"/>
    <w:rsid w:val="4A431740"/>
    <w:rsid w:val="4BAA3732"/>
    <w:rsid w:val="4C481290"/>
    <w:rsid w:val="4C5D5CF6"/>
    <w:rsid w:val="4CBE2E20"/>
    <w:rsid w:val="4CFE5C0C"/>
    <w:rsid w:val="4D325C6C"/>
    <w:rsid w:val="4D8600A4"/>
    <w:rsid w:val="4D8C4B13"/>
    <w:rsid w:val="4D930C30"/>
    <w:rsid w:val="4DA47DE9"/>
    <w:rsid w:val="4E0F02B7"/>
    <w:rsid w:val="4F691C49"/>
    <w:rsid w:val="4F812059"/>
    <w:rsid w:val="4F983C1B"/>
    <w:rsid w:val="4FA709C3"/>
    <w:rsid w:val="4FAC3EAB"/>
    <w:rsid w:val="4FB56C3C"/>
    <w:rsid w:val="4FF04118"/>
    <w:rsid w:val="50007ACD"/>
    <w:rsid w:val="500B41B1"/>
    <w:rsid w:val="50240068"/>
    <w:rsid w:val="50252D29"/>
    <w:rsid w:val="503F0996"/>
    <w:rsid w:val="50515E4B"/>
    <w:rsid w:val="50FE76EC"/>
    <w:rsid w:val="51165913"/>
    <w:rsid w:val="5118277B"/>
    <w:rsid w:val="513A1AEF"/>
    <w:rsid w:val="514E559A"/>
    <w:rsid w:val="51791EEB"/>
    <w:rsid w:val="519C6BF2"/>
    <w:rsid w:val="52342D13"/>
    <w:rsid w:val="523D0814"/>
    <w:rsid w:val="52642B9B"/>
    <w:rsid w:val="53D855EF"/>
    <w:rsid w:val="53ED6794"/>
    <w:rsid w:val="541C0185"/>
    <w:rsid w:val="543C3357"/>
    <w:rsid w:val="547A7D75"/>
    <w:rsid w:val="54DE7D82"/>
    <w:rsid w:val="554D7917"/>
    <w:rsid w:val="560650D6"/>
    <w:rsid w:val="577477EE"/>
    <w:rsid w:val="57A91349"/>
    <w:rsid w:val="57CC7219"/>
    <w:rsid w:val="58580AAD"/>
    <w:rsid w:val="593F3A1A"/>
    <w:rsid w:val="5A6E45B7"/>
    <w:rsid w:val="5AA1498D"/>
    <w:rsid w:val="5AE54EDC"/>
    <w:rsid w:val="5B340D27"/>
    <w:rsid w:val="5B6D486F"/>
    <w:rsid w:val="5B932866"/>
    <w:rsid w:val="5BCA7F13"/>
    <w:rsid w:val="5C1F54B9"/>
    <w:rsid w:val="5C6E089F"/>
    <w:rsid w:val="5CBB0025"/>
    <w:rsid w:val="5CEF46C8"/>
    <w:rsid w:val="5D0255A9"/>
    <w:rsid w:val="5D215911"/>
    <w:rsid w:val="5D982B15"/>
    <w:rsid w:val="5DD82F19"/>
    <w:rsid w:val="5E155921"/>
    <w:rsid w:val="5E4D0988"/>
    <w:rsid w:val="5E6F1F7A"/>
    <w:rsid w:val="5E6F6B50"/>
    <w:rsid w:val="5E816FDD"/>
    <w:rsid w:val="5E987E55"/>
    <w:rsid w:val="5EBA4D17"/>
    <w:rsid w:val="5EC24ED2"/>
    <w:rsid w:val="5EDE1337"/>
    <w:rsid w:val="5F222469"/>
    <w:rsid w:val="5F357D99"/>
    <w:rsid w:val="5F93686E"/>
    <w:rsid w:val="5F994316"/>
    <w:rsid w:val="5FA30C8D"/>
    <w:rsid w:val="5FEF0574"/>
    <w:rsid w:val="5FFC716E"/>
    <w:rsid w:val="600960BD"/>
    <w:rsid w:val="600E201D"/>
    <w:rsid w:val="60591866"/>
    <w:rsid w:val="612B3202"/>
    <w:rsid w:val="61313E32"/>
    <w:rsid w:val="61655E91"/>
    <w:rsid w:val="61DD02D7"/>
    <w:rsid w:val="631A2B9C"/>
    <w:rsid w:val="632F68AE"/>
    <w:rsid w:val="639037F0"/>
    <w:rsid w:val="63A64DC2"/>
    <w:rsid w:val="63AF7503"/>
    <w:rsid w:val="64395C36"/>
    <w:rsid w:val="64832C8B"/>
    <w:rsid w:val="64882719"/>
    <w:rsid w:val="64A01811"/>
    <w:rsid w:val="64E831B8"/>
    <w:rsid w:val="65702D9F"/>
    <w:rsid w:val="65921AA2"/>
    <w:rsid w:val="65D75707"/>
    <w:rsid w:val="6618187B"/>
    <w:rsid w:val="661F0E5C"/>
    <w:rsid w:val="66456B14"/>
    <w:rsid w:val="66C11F13"/>
    <w:rsid w:val="67391614"/>
    <w:rsid w:val="67E704B4"/>
    <w:rsid w:val="68127258"/>
    <w:rsid w:val="68A70650"/>
    <w:rsid w:val="696077C1"/>
    <w:rsid w:val="699F76FF"/>
    <w:rsid w:val="69CE6E20"/>
    <w:rsid w:val="6B364C7D"/>
    <w:rsid w:val="6B3D4C00"/>
    <w:rsid w:val="6B9419A4"/>
    <w:rsid w:val="6BC77FCB"/>
    <w:rsid w:val="6BCF6E80"/>
    <w:rsid w:val="6BE41585"/>
    <w:rsid w:val="6C1256EA"/>
    <w:rsid w:val="6C1476AE"/>
    <w:rsid w:val="6C3A254B"/>
    <w:rsid w:val="6CAB169B"/>
    <w:rsid w:val="6D050DAB"/>
    <w:rsid w:val="6D46375B"/>
    <w:rsid w:val="6D967C55"/>
    <w:rsid w:val="6DAA54AF"/>
    <w:rsid w:val="6DC413FE"/>
    <w:rsid w:val="6E076D69"/>
    <w:rsid w:val="6E62222D"/>
    <w:rsid w:val="6E89242D"/>
    <w:rsid w:val="6EE449F0"/>
    <w:rsid w:val="6F253543"/>
    <w:rsid w:val="6F926B42"/>
    <w:rsid w:val="6FDE4B71"/>
    <w:rsid w:val="710769A7"/>
    <w:rsid w:val="71B66B18"/>
    <w:rsid w:val="72604CD6"/>
    <w:rsid w:val="72DF5BFA"/>
    <w:rsid w:val="72F62F44"/>
    <w:rsid w:val="7304539B"/>
    <w:rsid w:val="735544D4"/>
    <w:rsid w:val="735E3EDB"/>
    <w:rsid w:val="73B74C9B"/>
    <w:rsid w:val="73D239B1"/>
    <w:rsid w:val="73D2750D"/>
    <w:rsid w:val="73E84818"/>
    <w:rsid w:val="741A77EC"/>
    <w:rsid w:val="742D4BB0"/>
    <w:rsid w:val="744523D5"/>
    <w:rsid w:val="745B7503"/>
    <w:rsid w:val="74A907A6"/>
    <w:rsid w:val="74AE1682"/>
    <w:rsid w:val="74B17A6A"/>
    <w:rsid w:val="75271ADB"/>
    <w:rsid w:val="752C70F1"/>
    <w:rsid w:val="7548217D"/>
    <w:rsid w:val="75846F2D"/>
    <w:rsid w:val="75BC66C7"/>
    <w:rsid w:val="76034BED"/>
    <w:rsid w:val="76B4114C"/>
    <w:rsid w:val="774553A6"/>
    <w:rsid w:val="776F591B"/>
    <w:rsid w:val="77B24750"/>
    <w:rsid w:val="77D01FB6"/>
    <w:rsid w:val="78484242"/>
    <w:rsid w:val="7872306D"/>
    <w:rsid w:val="78E55401"/>
    <w:rsid w:val="78F41CD4"/>
    <w:rsid w:val="79E20842"/>
    <w:rsid w:val="79F00974"/>
    <w:rsid w:val="79FC7092"/>
    <w:rsid w:val="7A2E133F"/>
    <w:rsid w:val="7A682979"/>
    <w:rsid w:val="7BDA1655"/>
    <w:rsid w:val="7BF344C5"/>
    <w:rsid w:val="7BFD5343"/>
    <w:rsid w:val="7C1D1542"/>
    <w:rsid w:val="7C6815AF"/>
    <w:rsid w:val="7CD460A4"/>
    <w:rsid w:val="7CDB5685"/>
    <w:rsid w:val="7D237AA8"/>
    <w:rsid w:val="7DD547CA"/>
    <w:rsid w:val="7DF05680"/>
    <w:rsid w:val="7EE12CFA"/>
    <w:rsid w:val="7F3472CE"/>
    <w:rsid w:val="7F5434CC"/>
    <w:rsid w:val="7F71399A"/>
    <w:rsid w:val="7F7E1C1E"/>
    <w:rsid w:val="7FB64187"/>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w="http://schemas.openxmlformats.org/wordprocessingml/2006/main">
  <w:docDefaults>
    <w:rPrDefault>
      <w:rPr>
        <w:rFonts w:ascii="Times New Roman" w:hAnsi="Times New Roman" w:eastAsia="宋体" w:cs="Times New Roman"/>
      </w:rPr>
    </w:rPrDefault>
    <w:pPrDefault>
      <w:pPr/>
    </w:pPrDefault>
  </w:docDefaults>
  <w:latentStyles w:defLockedState="false" w:defUIPriority="99" w:defSemiHidden="true" w:defUnhideWhenUsed="true" w:defQFormat="false" w:count="260">
    <w:lsdException w:name="Salutation" w:uiPriority="0" w:semiHidden="false" w:unhideWhenUsed="false"/>
    <w:lsdException w:name="Medium Grid 3 Accent 1" w:uiPriority="69" w:semiHidden="false" w:unhideWhenUsed="false"/>
    <w:lsdException w:name="Light Shading Accent 3" w:uiPriority="60" w:semiHidden="false" w:unhideWhenUsed="false"/>
    <w:lsdException w:name="Dark List" w:uiPriority="70" w:semiHidden="false" w:unhideWhenUsed="false"/>
    <w:lsdException w:name="heading 2" w:uiPriority="9" w:semiHidden="false" w:unhideWhenUsed="false" w:qFormat="true"/>
    <w:lsdException w:name="Light Grid Accent 6" w:uiPriority="62" w:semiHidden="false" w:unhideWhenUsed="false"/>
    <w:lsdException w:name="Light Shading Accent 6" w:uiPriority="60" w:semiHidden="false" w:unhideWhenUsed="false"/>
    <w:lsdException w:name="Light List Accent 6" w:uiPriority="61" w:semiHidden="false" w:unhideWhenUsed="false"/>
    <w:lsdException w:name="toc 2" w:uiPriority="39" w:semiHidden="false" w:unhideWhenUsed="false" w:qFormat="true"/>
    <w:lsdException w:name="index 8" w:uiPriority="0" w:semiHidden="false" w:unhideWhenUsed="false"/>
    <w:lsdException w:name="Medium List 2 Accent 5" w:uiPriority="66" w:semiHidden="false" w:unhideWhenUsed="false"/>
    <w:lsdException w:name="page number" w:uiPriority="0" w:semiHidden="false" w:unhideWhenUsed="false"/>
    <w:lsdException w:name="heading 1" w:uiPriority="9" w:semiHidden="false" w:unhideWhenUsed="false" w:qFormat="true"/>
    <w:lsdException w:name="Table Grid 5" w:uiPriority="0" w:semiHidden="false" w:unhideWhenUsed="false"/>
    <w:lsdException w:name="Medium Shading 1 Accent 4" w:uiPriority="63" w:semiHidden="false" w:unhideWhenUsed="false"/>
    <w:lsdException w:name="Colorful Shading Accent 4" w:uiPriority="71" w:semiHidden="false" w:unhideWhenUsed="false"/>
    <w:lsdException w:name="Table Colorful 2" w:uiPriority="0" w:semiHidden="false" w:unhideWhenUsed="false"/>
    <w:lsdException w:name="E-mail Signature" w:uiPriority="0" w:semiHidden="false" w:unhideWhenUsed="false"/>
    <w:lsdException w:name="Medium List 2" w:uiPriority="66" w:semiHidden="false" w:unhideWhenUsed="false"/>
    <w:lsdException w:name="Medium Shading 1 Accent 1" w:uiPriority="63" w:semiHidden="false" w:unhideWhenUsed="false"/>
    <w:lsdException w:name="Normal Indent" w:uiPriority="0" w:semiHidden="false" w:unhideWhenUsed="false"/>
    <w:lsdException w:name="endnote text" w:uiPriority="0" w:semiHidden="false" w:unhideWhenUsed="false"/>
    <w:lsdException w:name="Body Text First Indent" w:uiPriority="0" w:semiHidden="false" w:unhideWhenUsed="false"/>
    <w:lsdException w:name="Medium Grid 1 Accent 3" w:uiPriority="67" w:semiHidden="false" w:unhideWhenUsed="false"/>
    <w:lsdException w:name="Medium List 2 Accent 1" w:uiPriority="66" w:semiHidden="false" w:unhideWhenUsed="false"/>
    <w:lsdException w:name="Table Grid 8" w:uiPriority="0" w:semiHidden="false" w:unhideWhenUsed="false"/>
    <w:lsdException w:name="Medium List 1 Accent 1" w:uiPriority="65" w:semiHidden="false" w:unhideWhenUsed="false"/>
    <w:lsdException w:name="Table Columns 5" w:uiPriority="0" w:semiHidden="false" w:unhideWhenUsed="false"/>
    <w:lsdException w:name="Colorful List" w:uiPriority="72" w:semiHidden="false" w:unhideWhenUsed="false"/>
    <w:lsdException w:name="Table Professional" w:uiPriority="0" w:semiHidden="false" w:unhideWhenUsed="false"/>
    <w:lsdException w:name="Table List 1" w:uiPriority="0" w:semiHidden="false" w:unhideWhenUsed="false"/>
    <w:lsdException w:name="Medium Grid 2 Accent 4" w:uiPriority="68" w:semiHidden="false" w:unhideWhenUsed="false"/>
    <w:lsdException w:name="Table Grid 1" w:uiPriority="0" w:semiHidden="false" w:unhideWhenUsed="false"/>
    <w:lsdException w:name="Medium Grid 2 Accent 6" w:uiPriority="68" w:semiHidden="false" w:unhideWhenUsed="false"/>
    <w:lsdException w:name="header" w:uiPriority="99" w:semiHidden="false" w:unhideWhenUsed="false" w:qFormat="true"/>
    <w:lsdException w:name="Medium Grid 1 Accent 2" w:uiPriority="67" w:semiHidden="false" w:unhideWhenUsed="false"/>
    <w:lsdException w:name="List Number 3" w:uiPriority="0" w:semiHidden="false" w:unhideWhenUsed="false"/>
    <w:lsdException w:name="Table Web 2" w:uiPriority="0" w:semiHidden="false" w:unhideWhenUsed="false"/>
    <w:lsdException w:name="Colorful List Accent 3" w:uiPriority="72" w:semiHidden="false" w:unhideWhenUsed="false"/>
    <w:lsdException w:name="Colorful Grid Accent 5" w:uiPriority="73" w:semiHidden="false" w:unhideWhenUsed="false"/>
    <w:lsdException w:name="toc 1" w:uiPriority="39" w:semiHidden="false" w:unhideWhenUsed="false" w:qFormat="true"/>
    <w:lsdException w:name="Colorful Shading" w:uiPriority="71" w:semiHidden="false" w:unhideWhenUsed="false"/>
    <w:lsdException w:name="annotation text" w:uiPriority="99" w:semiHidden="false" w:unhideWhenUsed="false" w:qFormat="true"/>
    <w:lsdException w:name="index 9" w:uiPriority="0" w:semiHidden="false" w:unhideWhenUsed="false"/>
    <w:lsdException w:name="Colorful Shading Accent 3" w:uiPriority="71" w:semiHidden="false" w:unhideWhenUsed="false"/>
    <w:lsdException w:name="table of authorities" w:uiPriority="0" w:semiHidden="false" w:unhideWhenUsed="false"/>
    <w:lsdException w:name="HTML Variable" w:uiPriority="0" w:semiHidden="false" w:unhideWhenUsed="false"/>
    <w:lsdException w:name="Date" w:uiPriority="0" w:semiHidden="false" w:unhideWhenUsed="false"/>
    <w:lsdException w:name="Medium List 1 Accent 6" w:uiPriority="65" w:semiHidden="false" w:unhideWhenUsed="false"/>
    <w:lsdException w:name="envelope return" w:uiPriority="99" w:semiHidden="false" w:unhideWhenUsed="false" w:qFormat="true"/>
    <w:lsdException w:name="Table Grid 4" w:uiPriority="0" w:semiHidden="false" w:unhideWhenUsed="false"/>
    <w:lsdException w:name="Light List Accent 4" w:uiPriority="61" w:semiHidden="false" w:unhideWhenUsed="false"/>
    <w:lsdException w:name="caption" w:uiPriority="0" w:qFormat="true"/>
    <w:lsdException w:name="Medium Grid 1" w:uiPriority="67" w:semiHidden="false" w:unhideWhenUsed="false"/>
    <w:lsdException w:name="index 6" w:uiPriority="0" w:semiHidden="false" w:unhideWhenUsed="false"/>
    <w:lsdException w:name="Body Text Indent 3" w:uiPriority="0" w:semiHidden="false" w:unhideWhenUsed="false"/>
    <w:lsdException w:name="Message Header" w:uiPriority="0" w:semiHidden="false" w:unhideWhenUsed="false"/>
    <w:lsdException w:name="List Continue 2" w:uiPriority="0" w:semiHidden="false" w:unhideWhenUsed="false"/>
    <w:lsdException w:name="heading 5" w:uiPriority="0" w:qFormat="true"/>
    <w:lsdException w:name="List Number 4" w:uiPriority="0" w:semiHidden="false" w:unhideWhenUsed="false"/>
    <w:lsdException w:name="toc 4" w:uiPriority="0" w:semiHidden="false" w:unhideWhenUsed="false"/>
    <w:lsdException w:name="Body Text 3" w:uiPriority="0" w:semiHidden="false" w:unhideWhenUsed="false"/>
    <w:lsdException w:name="endnote reference" w:uiPriority="0" w:semiHidden="false" w:unhideWhenUsed="false"/>
    <w:lsdException w:name="Medium Grid 1 Accent 5" w:uiPriority="67" w:semiHidden="false" w:unhideWhenUsed="false"/>
    <w:lsdException w:name="Body Text Indent 2" w:uiPriority="0" w:semiHidden="false" w:unhideWhenUsed="false"/>
    <w:lsdException w:name="Colorful List Accent 5" w:uiPriority="72" w:semiHidden="false" w:unhideWhenUsed="false"/>
    <w:lsdException w:name="Table List 3" w:uiPriority="0" w:semiHidden="false" w:unhideWhenUsed="false"/>
    <w:lsdException w:name="Light Shading" w:uiPriority="60" w:semiHidden="false" w:unhideWhenUsed="false"/>
    <w:lsdException w:name="HTML Definition" w:uiPriority="0" w:semiHidden="false" w:unhideWhenUsed="false"/>
    <w:lsdException w:name="Table Subtle 2" w:uiPriority="0" w:semiHidden="false" w:unhideWhenUsed="false"/>
    <w:lsdException w:name="Light Grid Accent 3" w:uiPriority="62" w:semiHidden="false" w:unhideWhenUsed="false"/>
    <w:lsdException w:name="index 4" w:uiPriority="0" w:semiHidden="false" w:unhideWhenUsed="false"/>
    <w:lsdException w:name="Light List Accent 3" w:uiPriority="61" w:semiHidden="false" w:unhideWhenUsed="false"/>
    <w:lsdException w:name="Table Simple 2" w:uiPriority="0" w:semiHidden="false" w:unhideWhenUsed="false"/>
    <w:lsdException w:name="Table List 5" w:uiPriority="0" w:semiHidden="false" w:unhideWhenUsed="false"/>
    <w:lsdException w:name="Table Classic 3" w:uiPriority="0" w:semiHidden="false" w:unhideWhenUsed="false"/>
    <w:lsdException w:name="Medium List 1 Accent 5" w:uiPriority="65" w:semiHidden="false" w:unhideWhenUsed="false"/>
    <w:lsdException w:name="Note Heading" w:uiPriority="0" w:semiHidden="false" w:unhideWhenUsed="false"/>
    <w:lsdException w:name="Medium Grid 3 Accent 2" w:uiPriority="69" w:semiHidden="false" w:unhideWhenUsed="false"/>
    <w:lsdException w:name="footer" w:uiPriority="99" w:semiHidden="false" w:unhideWhenUsed="false" w:qFormat="true"/>
    <w:lsdException w:name="Table Subtle 1" w:uiPriority="0" w:semiHidden="false" w:unhideWhenUsed="false"/>
    <w:lsdException w:name="HTML Keyboard" w:uiPriority="0" w:semiHidden="false" w:unhideWhenUsed="false"/>
    <w:lsdException w:name="Medium Grid 1 Accent 1" w:uiPriority="67" w:semiHidden="false" w:unhideWhenUsed="false"/>
    <w:lsdException w:name="toc 3" w:uiPriority="0" w:semiHidden="false" w:unhideWhenUsed="false"/>
    <w:lsdException w:name="index 2" w:uiPriority="0" w:semiHidden="false" w:unhideWhenUsed="false"/>
    <w:lsdException w:name="Colorful Grid Accent 4" w:uiPriority="73" w:semiHidden="false" w:unhideWhenUsed="false"/>
    <w:lsdException w:name="Medium Shading 2 Accent 5" w:uiPriority="64" w:semiHidden="false" w:unhideWhenUsed="false"/>
    <w:lsdException w:name="Medium Grid 2 Accent 5" w:uiPriority="68" w:semiHidden="false" w:unhideWhenUsed="false"/>
    <w:lsdException w:name="Medium Shading 2" w:uiPriority="64" w:semiHidden="false" w:unhideWhenUsed="false"/>
    <w:lsdException w:name="Dark List Accent 6" w:uiPriority="70" w:semiHidden="false" w:unhideWhenUsed="false"/>
    <w:lsdException w:name="FollowedHyperlink" w:uiPriority="0" w:semiHidden="false" w:unhideWhenUsed="false"/>
    <w:lsdException w:name="Table Classic 2" w:uiPriority="0" w:semiHidden="false" w:unhideWhenUsed="false"/>
    <w:lsdException w:name="Colorful Shading Accent 6" w:uiPriority="71" w:semiHidden="false" w:unhideWhenUsed="false"/>
    <w:lsdException w:name="Light Shading Accent 4" w:uiPriority="60" w:semiHidden="false" w:unhideWhenUsed="false"/>
    <w:lsdException w:name="toc 5" w:uiPriority="0" w:semiHidden="false" w:unhideWhenUsed="false"/>
    <w:lsdException w:name="Table Grid" w:uiPriority="39" w:semiHidden="false" w:unhideWhenUsed="false" w:qFormat="true"/>
    <w:lsdException w:name="List Continue" w:uiPriority="0" w:semiHidden="false" w:unhideWhenUsed="false"/>
    <w:lsdException w:name="HTML Cite" w:uiPriority="0" w:semiHidden="false" w:unhideWhenUsed="false"/>
    <w:lsdException w:name="Table Grid 7" w:uiPriority="0" w:semiHidden="false" w:unhideWhenUsed="false"/>
    <w:lsdException w:name="HTML Sample" w:uiPriority="0" w:semiHidden="false" w:unhideWhenUsed="false"/>
    <w:lsdException w:name="Table List 4" w:uiPriority="0" w:semiHidden="false" w:unhideWhenUsed="false"/>
    <w:lsdException w:name="Table Elegant" w:uiPriority="0" w:semiHidden="false" w:unhideWhenUsed="false"/>
    <w:lsdException w:name="Medium Grid 3 Accent 4" w:uiPriority="69" w:semiHidden="false" w:unhideWhenUsed="false"/>
    <w:lsdException w:name="Table List 6" w:uiPriority="0" w:semiHidden="false" w:unhideWhenUsed="false"/>
    <w:lsdException w:name="Table Web 1" w:uiPriority="0" w:semiHidden="false" w:unhideWhenUsed="false"/>
    <w:lsdException w:name="Medium Shading 2 Accent 1" w:uiPriority="64" w:semiHidden="false" w:unhideWhenUsed="false"/>
    <w:lsdException w:name="Light List" w:uiPriority="61" w:semiHidden="false" w:unhideWhenUsed="false"/>
    <w:lsdException w:name="List 3" w:uiPriority="0" w:semiHidden="false" w:unhideWhenUsed="false"/>
    <w:lsdException w:name="Medium Grid 1 Accent 4" w:uiPriority="67" w:semiHidden="false" w:unhideWhenUsed="false"/>
    <w:lsdException w:name="Table Classic 1" w:uiPriority="0" w:semiHidden="false" w:unhideWhenUsed="false"/>
    <w:lsdException w:name="Body Text" w:uiPriority="99" w:semiHidden="false" w:unhideWhenUsed="false" w:qFormat="true"/>
    <w:lsdException w:name="Medium Shading 1 Accent 5" w:uiPriority="63" w:semiHidden="false" w:unhideWhenUsed="false"/>
    <w:lsdException w:name="List 5" w:uiPriority="0" w:semiHidden="false" w:unhideWhenUsed="false"/>
    <w:lsdException w:name="Colorful Grid Accent 2" w:uiPriority="73" w:semiHidden="false" w:unhideWhenUsed="false"/>
    <w:lsdException w:name="Emphasis" w:uiPriority="0" w:semiHidden="false" w:unhideWhenUsed="false" w:qFormat="true"/>
    <w:lsdException w:name="Table Grid 3" w:uiPriority="0" w:semiHidden="false" w:unhideWhenUsed="false"/>
    <w:lsdException w:name="Light Shading Accent 5" w:uiPriority="60" w:semiHidden="false" w:unhideWhenUsed="false"/>
    <w:lsdException w:name="Table Columns 4" w:uiPriority="0" w:semiHidden="false" w:unhideWhenUsed="false"/>
    <w:lsdException w:name="HTML Typewriter" w:uiPriority="0" w:semiHidden="false" w:unhideWhenUsed="false"/>
    <w:lsdException w:name="Subtitle" w:uiPriority="0" w:semiHidden="false" w:unhideWhenUsed="false" w:qFormat="true"/>
    <w:lsdException w:name="HTML Acronym" w:uiPriority="0" w:semiHidden="false" w:unhideWhenUsed="false"/>
    <w:lsdException w:name="Light Grid Accent 1" w:uiPriority="62" w:semiHidden="false" w:unhideWhenUsed="false"/>
    <w:lsdException w:name="Normal Table" w:uiPriority="99" w:semiHidden="false" w:unhideWhenUsed="false" w:qFormat="true"/>
    <w:lsdException w:name="List 2" w:uiPriority="0" w:semiHidden="false" w:unhideWhenUsed="false"/>
    <w:lsdException w:name="footnote text" w:uiPriority="0" w:semiHidden="false" w:unhideWhenUsed="false"/>
    <w:lsdException w:name="List Bullet 5" w:uiPriority="0" w:semiHidden="false" w:unhideWhenUsed="false"/>
    <w:lsdException w:name="Strong" w:uiPriority="22" w:semiHidden="false" w:unhideWhenUsed="false" w:qFormat="true"/>
    <w:lsdException w:name="Hyperlink" w:uiPriority="99" w:semiHidden="false" w:unhideWhenUsed="false" w:qFormat="true"/>
    <w:lsdException w:name="Medium List 1 Accent 3" w:uiPriority="65" w:semiHidden="false" w:unhideWhenUsed="false"/>
    <w:lsdException w:name="Medium Grid 3" w:uiPriority="69" w:semiHidden="false" w:unhideWhenUsed="false"/>
    <w:lsdException w:name="index heading" w:uiPriority="0" w:semiHidden="false" w:unhideWhenUsed="false"/>
    <w:lsdException w:name="Table Columns 2" w:uiPriority="0" w:semiHidden="false" w:unhideWhenUsed="false"/>
    <w:lsdException w:name="heading 7" w:uiPriority="0" w:qFormat="true"/>
    <w:lsdException w:name="Light List Accent 5" w:uiPriority="61" w:semiHidden="false" w:unhideWhenUsed="false"/>
    <w:lsdException w:name="Body Text Indent" w:uiPriority="99" w:semiHidden="false" w:unhideWhenUsed="false" w:qFormat="true"/>
    <w:lsdException w:name="Colorful List Accent 2" w:uiPriority="72" w:semiHidden="false" w:unhideWhenUsed="false"/>
    <w:lsdException w:name="annotation subject" w:uiPriority="0" w:semiHidden="false" w:unhideWhenUsed="false"/>
    <w:lsdException w:name="index 1" w:uiPriority="0" w:semiHidden="false" w:unhideWhenUsed="false"/>
    <w:lsdException w:name="Table 3D effects 1" w:uiPriority="0" w:semiHidden="false" w:unhideWhenUsed="false"/>
    <w:lsdException w:name="Light Shading Accent 1" w:uiPriority="60" w:semiHidden="false" w:unhideWhenUsed="false"/>
    <w:lsdException w:name="Medium List 1" w:uiPriority="65" w:semiHidden="false" w:unhideWhenUsed="false"/>
    <w:lsdException w:name="toc 6" w:uiPriority="0" w:semiHidden="false" w:unhideWhenUsed="false"/>
    <w:lsdException w:name="Dark List Accent 1" w:uiPriority="70" w:semiHidden="false" w:unhideWhenUsed="false"/>
    <w:lsdException w:name="Medium Shading 2 Accent 3" w:uiPriority="64" w:semiHidden="false" w:unhideWhenUsed="false"/>
    <w:lsdException w:name="Light Grid Accent 4" w:uiPriority="62" w:semiHidden="false" w:unhideWhenUsed="false"/>
    <w:lsdException w:name="Colorful Grid Accent 3" w:uiPriority="73" w:semiHidden="false" w:unhideWhenUsed="false"/>
    <w:lsdException w:name="HTML Address" w:uiPriority="0" w:semiHidden="false" w:unhideWhenUsed="false"/>
    <w:lsdException w:name="Medium Grid 3 Accent 5" w:uiPriority="69" w:semiHidden="false" w:unhideWhenUsed="false"/>
    <w:lsdException w:name="List Continue 3" w:uiPriority="0" w:semiHidden="false" w:unhideWhenUsed="false"/>
    <w:lsdException w:name="Medium Grid 2" w:uiPriority="68" w:semiHidden="false" w:unhideWhenUsed="false"/>
    <w:lsdException w:name="Normal" w:uiPriority="0" w:semiHidden="false" w:unhideWhenUsed="false" w:qFormat="true"/>
    <w:lsdException w:name="Medium List 2 Accent 3" w:uiPriority="66" w:semiHidden="false" w:unhideWhenUsed="false"/>
    <w:lsdException w:name="Medium Shading 2 Accent 2" w:uiPriority="64" w:semiHidden="false" w:unhideWhenUsed="false"/>
    <w:lsdException w:name="Medium Grid 2 Accent 1" w:uiPriority="68" w:semiHidden="false" w:unhideWhenUsed="false"/>
    <w:lsdException w:name="Colorful List Accent 4" w:uiPriority="72" w:semiHidden="false" w:unhideWhenUsed="false"/>
    <w:lsdException w:name="heading 8" w:uiPriority="0" w:qFormat="true"/>
    <w:lsdException w:name="Dark List Accent 2" w:uiPriority="70" w:semiHidden="false" w:unhideWhenUsed="false"/>
    <w:lsdException w:name="annotation reference" w:uiPriority="0" w:semiHidden="false" w:unhideWhenUsed="false"/>
    <w:lsdException w:name="Dark List Accent 3" w:uiPriority="70" w:semiHidden="false" w:unhideWhenUsed="false"/>
    <w:lsdException w:name="Table Web 3" w:uiPriority="0" w:semiHidden="false" w:unhideWhenUsed="false"/>
    <w:lsdException w:name="Light Grid" w:uiPriority="62" w:semiHidden="false" w:unhideWhenUsed="false"/>
    <w:lsdException w:name="Closing" w:uiPriority="0" w:semiHidden="false" w:unhideWhenUsed="false"/>
    <w:lsdException w:name="Table Columns 1" w:uiPriority="0" w:semiHidden="false" w:unhideWhenUsed="false"/>
    <w:lsdException w:name="Medium List 2 Accent 2" w:uiPriority="66" w:semiHidden="false" w:unhideWhenUsed="false"/>
    <w:lsdException w:name="List Paragraph" w:uiPriority="1" w:semiHidden="false" w:unhideWhenUsed="false" w:qFormat="true"/>
    <w:lsdException w:name="List" w:uiPriority="0" w:semiHidden="false" w:unhideWhenUsed="false"/>
    <w:lsdException w:name="Normal (Web)" w:uiPriority="99" w:semiHidden="false" w:unhideWhenUsed="false" w:qFormat="true"/>
    <w:lsdException w:name="Table Columns 3" w:uiPriority="0" w:semiHidden="false" w:unhideWhenUsed="false"/>
    <w:lsdException w:name="Medium Shading 1" w:uiPriority="63" w:semiHidden="false" w:unhideWhenUsed="false"/>
    <w:lsdException w:name="List Bullet 4" w:uiPriority="0" w:semiHidden="false" w:unhideWhenUsed="false"/>
    <w:lsdException w:name="Medium List 1 Accent 2" w:uiPriority="65" w:semiHidden="false" w:unhideWhenUsed="false"/>
    <w:lsdException w:name="Body Text 2" w:uiPriority="99" w:semiHidden="false" w:unhideWhenUsed="false" w:qFormat="true"/>
    <w:lsdException w:name="Light Shading Accent 2" w:uiPriority="60" w:semiHidden="false" w:unhideWhenUsed="false"/>
    <w:lsdException w:name="List Number" w:uiPriority="0" w:semiHidden="false" w:unhideWhenUsed="false"/>
    <w:lsdException w:name="Table 3D effects 3" w:uiPriority="0" w:semiHidden="false" w:unhideWhenUsed="false"/>
    <w:lsdException w:name="table of figures" w:uiPriority="0" w:semiHidden="false" w:unhideWhenUsed="false"/>
    <w:lsdException w:name="Medium List 2 Accent 4" w:uiPriority="66" w:semiHidden="false" w:unhideWhenUsed="false"/>
    <w:lsdException w:name="List Bullet 3" w:uiPriority="0" w:semiHidden="false" w:unhideWhenUsed="false"/>
    <w:lsdException w:name="List Bullet 2" w:uiPriority="0" w:semiHidden="false" w:unhideWhenUsed="false"/>
    <w:lsdException w:name="Document Map" w:uiPriority="0" w:semiHidden="false" w:unhideWhenUsed="false"/>
    <w:lsdException w:name="Table Simple 3" w:uiPriority="0" w:semiHidden="false" w:unhideWhenUsed="false"/>
    <w:lsdException w:name="HTML Code" w:uiPriority="0" w:semiHidden="false" w:unhideWhenUsed="false"/>
    <w:lsdException w:name="Table Grid 6" w:uiPriority="0" w:semiHidden="false" w:unhideWhenUsed="false"/>
    <w:lsdException w:name="toa heading" w:uiPriority="0" w:semiHidden="false" w:unhideWhenUsed="false"/>
    <w:lsdException w:name="Medium Shading 2 Accent 6" w:uiPriority="64" w:semiHidden="false" w:unhideWhenUsed="false"/>
    <w:lsdException w:name="Medium Shading 1 Accent 6" w:uiPriority="63" w:semiHidden="false" w:unhideWhenUsed="false"/>
    <w:lsdException w:name="List Continue 5" w:uiPriority="0" w:semiHidden="false" w:unhideWhenUsed="false"/>
    <w:lsdException w:name="Medium Shading 1 Accent 2" w:uiPriority="63" w:semiHidden="false" w:unhideWhenUsed="false"/>
    <w:lsdException w:name="footnote reference" w:uiPriority="0" w:semiHidden="false" w:unhideWhenUsed="false"/>
    <w:lsdException w:name="line number" w:uiPriority="0" w:semiHidden="false" w:unhideWhenUsed="false"/>
    <w:lsdException w:name="Colorful Shading Accent 1" w:uiPriority="71" w:semiHidden="false" w:unhideWhenUsed="false"/>
    <w:lsdException w:name="macro" w:uiPriority="0" w:semiHidden="false" w:unhideWhenUsed="false"/>
    <w:lsdException w:name="Light Grid Accent 5" w:uiPriority="62" w:semiHidden="false" w:unhideWhenUsed="false"/>
    <w:lsdException w:name="List Continue 4" w:uiPriority="0" w:semiHidden="false" w:unhideWhenUsed="false"/>
    <w:lsdException w:name="Default Paragraph Font" w:uiPriority="1" w:semiHidden="false" w:unhideWhenUsed="false" w:qFormat="true"/>
    <w:lsdException w:name="Table Theme" w:uiPriority="0" w:semiHidden="false" w:unhideWhenUsed="false"/>
    <w:lsdException w:name="Colorful Shading Accent 2" w:uiPriority="71" w:semiHidden="false" w:unhideWhenUsed="false"/>
    <w:lsdException w:name="index 7" w:uiPriority="0" w:semiHidden="false" w:unhideWhenUsed="false"/>
    <w:lsdException w:name="Colorful Grid Accent 6" w:uiPriority="73" w:semiHidden="false" w:unhideWhenUsed="false"/>
    <w:lsdException w:name="Plain Text" w:uiPriority="0" w:semiHidden="false" w:unhideWhenUsed="false"/>
    <w:lsdException w:name="index 5" w:uiPriority="0" w:semiHidden="false" w:unhideWhenUsed="false"/>
    <w:lsdException w:name="heading 4" w:uiPriority="0" w:qFormat="true"/>
    <w:lsdException w:name="Colorful List Accent 1" w:uiPriority="72" w:semiHidden="false" w:unhideWhenUsed="false"/>
    <w:lsdException w:name="Table Classic 4" w:uiPriority="0" w:semiHidden="false" w:unhideWhenUsed="false"/>
    <w:lsdException w:name="Medium Shading 2 Accent 4" w:uiPriority="64" w:semiHidden="false" w:unhideWhenUsed="false"/>
    <w:lsdException w:name="Light List Accent 1" w:uiPriority="61" w:semiHidden="false" w:unhideWhenUsed="false"/>
    <w:lsdException w:name="Medium List 2 Accent 6" w:uiPriority="66" w:semiHidden="false" w:unhideWhenUsed="false"/>
    <w:lsdException w:name="envelope address" w:uiPriority="0" w:semiHidden="false" w:unhideWhenUsed="false"/>
    <w:lsdException w:name="Table Colorful 1" w:uiPriority="0" w:semiHidden="false" w:unhideWhenUsed="false"/>
    <w:lsdException w:name="Title" w:uiPriority="0" w:semiHidden="false" w:unhideWhenUsed="false" w:qFormat="true"/>
    <w:lsdException w:name="Medium Grid 3 Accent 3" w:uiPriority="69" w:semiHidden="false" w:unhideWhenUsed="false"/>
    <w:lsdException w:name="Colorful Grid Accent 1" w:uiPriority="73" w:semiHidden="false" w:unhideWhenUsed="false"/>
    <w:lsdException w:name="Medium Grid 1 Accent 6" w:uiPriority="67" w:semiHidden="false" w:unhideWhenUsed="false"/>
    <w:lsdException w:name="Table List 8" w:uiPriority="0" w:semiHidden="false" w:unhideWhenUsed="false"/>
    <w:lsdException w:name="List Bullet" w:uiPriority="0" w:semiHidden="false" w:unhideWhenUsed="false"/>
    <w:lsdException w:name="Table 3D effects 2" w:uiPriority="0" w:semiHidden="false" w:unhideWhenUsed="false"/>
    <w:lsdException w:name="List Number 5" w:uiPriority="0" w:semiHidden="false" w:unhideWhenUsed="false"/>
    <w:lsdException w:name="Light List Accent 2" w:uiPriority="61" w:semiHidden="false" w:unhideWhenUsed="false"/>
    <w:lsdException w:name="Colorful Shading Accent 5" w:uiPriority="71" w:semiHidden="false" w:unhideWhenUsed="false"/>
    <w:lsdException w:name="Table List 7" w:uiPriority="0" w:semiHidden="false" w:unhideWhenUsed="false"/>
    <w:lsdException w:name="Table Colorful 3" w:uiPriority="0" w:semiHidden="false" w:unhideWhenUsed="false"/>
    <w:lsdException w:name="Medium Grid 3 Accent 6" w:uiPriority="69" w:semiHidden="false" w:unhideWhenUsed="false"/>
    <w:lsdException w:name="Block Text" w:uiPriority="0" w:semiHidden="false" w:unhideWhenUsed="false"/>
    <w:lsdException w:name="Table Simple 1" w:uiPriority="0" w:semiHidden="false" w:unhideWhenUsed="false"/>
    <w:lsdException w:name="List 4" w:uiPriority="0" w:semiHidden="false" w:unhideWhenUsed="false"/>
    <w:lsdException w:name="Medium Shading 1 Accent 3" w:uiPriority="63" w:semiHidden="false" w:unhideWhenUsed="false"/>
    <w:lsdException w:name="Dark List Accent 4" w:uiPriority="70" w:semiHidden="false" w:unhideWhenUsed="false"/>
    <w:lsdException w:name="List Number 2" w:uiPriority="0" w:semiHidden="false" w:unhideWhenUsed="false"/>
    <w:lsdException w:name="Signature" w:uiPriority="0" w:semiHidden="false" w:unhideWhenUsed="false"/>
    <w:lsdException w:name="heading 6" w:uiPriority="0" w:qFormat="true"/>
    <w:lsdException w:name="HTML Preformatted" w:uiPriority="0" w:semiHidden="false" w:unhideWhenUsed="false"/>
    <w:lsdException w:name="Medium Grid 2 Accent 3" w:uiPriority="68" w:semiHidden="false" w:unhideWhenUsed="false"/>
    <w:lsdException w:name="Colorful List Accent 6" w:uiPriority="72" w:semiHidden="false" w:unhideWhenUsed="false"/>
    <w:lsdException w:name="toc 8" w:uiPriority="0" w:semiHidden="false" w:unhideWhenUsed="false"/>
    <w:lsdException w:name="Table Grid 2" w:uiPriority="0" w:semiHidden="false" w:unhideWhenUsed="false"/>
    <w:lsdException w:name="Dark List Accent 5" w:uiPriority="70" w:semiHidden="false" w:unhideWhenUsed="false"/>
    <w:lsdException w:name="toc 7" w:uiPriority="0" w:semiHidden="false" w:unhideWhenUsed="false"/>
    <w:lsdException w:name="Medium List 1 Accent 4" w:uiPriority="65" w:semiHidden="false" w:unhideWhenUsed="false"/>
    <w:lsdException w:name="Light Grid Accent 2" w:uiPriority="62" w:semiHidden="false" w:unhideWhenUsed="false"/>
    <w:lsdException w:name="index 3" w:uiPriority="0" w:semiHidden="false" w:unhideWhenUsed="false"/>
    <w:lsdException w:name="Medium Grid 2 Accent 2" w:uiPriority="68" w:semiHidden="false" w:unhideWhenUsed="false"/>
    <w:lsdException w:name="toc 9" w:uiPriority="0" w:semiHidden="false" w:unhideWhenUsed="false"/>
    <w:lsdException w:name="Body Text First Indent 2" w:uiPriority="99" w:semiHidden="false" w:unhideWhenUsed="false" w:qFormat="true"/>
    <w:lsdException w:name="heading 3" w:uiPriority="9" w:semiHidden="false" w:unhideWhenUsed="false" w:qFormat="true"/>
    <w:lsdException w:name="Table Contemporary" w:uiPriority="0" w:semiHidden="false" w:unhideWhenUsed="false"/>
    <w:lsdException w:name="Colorful Grid" w:uiPriority="73" w:semiHidden="false" w:unhideWhenUsed="false"/>
    <w:lsdException w:name="heading 9" w:uiPriority="0" w:qFormat="true"/>
    <w:lsdException w:name="Table List 2" w:uiPriority="0" w:semiHidden="false" w:unhideWhenUsed="false"/>
    <w:lsdException w:name="Balloon Text" w:uiPriority="0" w:semiHidden="false" w:unhideWhenUsed="false"/>
  </w:latentStyles>
  <w:style w:type="paragraph" w:styleId="00002b" w:customStyle="true">
    <w:name w:val="Table Paragraph1"/>
    <w:autoRedefine/>
    <w:uiPriority w:val="1"/>
    <w:qFormat/>
    <w:pPr>
      <w:kinsoku w:val="false"/>
      <w:autoSpaceDE w:val="false"/>
      <w:autoSpaceDN w:val="false"/>
      <w:adjustRightInd w:val="false"/>
      <w:snapToGrid w:val="false"/>
      <w:spacing w:line="240" w:lineRule="auto"/>
      <w:jc w:val="center"/>
      <w:textAlignment w:val="baseline"/>
    </w:pPr>
    <w:rPr>
      <w:rFonts w:ascii="Times New Roman" w:hAnsi="Times New Roman" w:eastAsia="Times New Roman" w:cs="Times New Roman"/>
      <w:snapToGrid w:val="false"/>
      <w:color w:val="000000"/>
      <w:kern w:val="0"/>
      <w:sz w:val="21"/>
      <w:szCs w:val="21"/>
      <w:lang w:val="zh-CN" w:eastAsia="zh-CN" w:bidi="zh-CN"/>
    </w:rPr>
  </w:style>
  <w:style w:type="paragraph" w:styleId="000014">
    <w:name w:val="Normal (Web)"/>
    <w:basedOn w:val="000005"/>
    <w:autoRedefine/>
    <w:uiPriority w:val="99"/>
    <w:qFormat/>
    <w:pPr>
      <w:spacing w:before="0" w:beforeAutospacing="true" w:after="0" w:afterAutospacing="true"/>
      <w:ind w:left="0" w:right="0"/>
      <w:jc w:val="left"/>
    </w:pPr>
    <w:rPr>
      <w:kern w:val="0"/>
      <w:sz w:val="24"/>
      <w:lang w:val="en-US" w:eastAsia="zh-CN"/>
    </w:rPr>
  </w:style>
  <w:style w:type="character" w:styleId="000009" w:default="true">
    <w:name w:val="Default Paragraph Font"/>
    <w:autoRedefine/>
    <w:uiPriority w:val="1"/>
    <w:qFormat/>
  </w:style>
  <w:style w:type="paragraph" w:styleId="000010">
    <w:name w:val="header"/>
    <w:basedOn w:val="000005"/>
    <w:autoRedefine/>
    <w:uiPriority w:val="99"/>
    <w:qFormat/>
    <w:pPr>
      <w:pBdr>
        <w:top w:val="none" w:color="auto" w:sz="0" w:space="1"/>
        <w:left w:val="none" w:color="auto" w:sz="0" w:space="4"/>
        <w:bottom w:val="none" w:color="auto" w:sz="0" w:space="1"/>
        <w:right w:val="none" w:color="auto" w:sz="0" w:space="4"/>
      </w:pBdr>
      <w:tabs>
        <w:tab w:val="center" w:pos="4153"/>
        <w:tab w:val="right" w:pos="8306"/>
      </w:tabs>
      <w:snapToGrid w:val="false"/>
      <w:spacing w:line="240" w:lineRule="auto"/>
      <w:jc w:val="both"/>
      <w:outlineLvl w:val="9"/>
    </w:pPr>
    <w:rPr>
      <w:sz w:val="18"/>
    </w:rPr>
  </w:style>
  <w:style w:type="paragraph" w:styleId="000020" w:customStyle="true">
    <w:name w:val="WPSOffice手动目录 2"/>
    <w:uiPriority w:val="0"/>
    <w:qFormat/>
    <w:pPr>
      <w:ind w:leftChars="200"/>
    </w:pPr>
    <w:rPr>
      <w:rFonts w:ascii="Times New Roman" w:hAnsi="Times New Roman" w:eastAsia="宋体" w:cs="Times New Roman"/>
      <w:sz w:val="20"/>
      <w:szCs w:val="20"/>
    </w:rPr>
  </w:style>
  <w:style w:type="paragraph" w:styleId="000035" w:customStyle="true">
    <w:name w:val="WPSOffice手动目录 3"/>
    <w:uiPriority w:val="0"/>
    <w:qFormat/>
    <w:pPr>
      <w:ind w:leftChars="400"/>
    </w:pPr>
    <w:rPr>
      <w:rFonts w:ascii="Times New Roman" w:hAnsi="Times New Roman" w:eastAsia="宋体" w:cs="Times New Roman"/>
      <w:sz w:val="20"/>
      <w:szCs w:val="20"/>
    </w:rPr>
  </w:style>
  <w:style w:type="paragraph" w:styleId="00001b" w:customStyle="true">
    <w:name w:val="Table Paragraph"/>
    <w:basedOn w:val="000005"/>
    <w:uiPriority w:val="1"/>
    <w:qFormat/>
    <w:pPr>
      <w:jc w:val="center"/>
    </w:pPr>
    <w:rPr>
      <w:rFonts w:ascii="Times New Roman" w:hAnsi="Times New Roman" w:eastAsia="Times New Roman" w:cs="Times New Roman"/>
      <w:lang w:val="zh-CN" w:eastAsia="zh-CN" w:bidi="zh-CN"/>
    </w:rPr>
  </w:style>
  <w:style w:type="paragraph" w:styleId="000015">
    <w:name w:val="Body Text First Indent 2"/>
    <w:basedOn w:val="00000d"/>
    <w:autoRedefine/>
    <w:uiPriority w:val="99"/>
    <w:qFormat/>
    <w:pPr>
      <w:spacing w:line="360" w:lineRule="auto"/>
      <w:ind w:firstLine="420"/>
    </w:pPr>
    <w:rPr>
      <w:szCs w:val="22"/>
    </w:rPr>
  </w:style>
  <w:style w:type="character" w:styleId="000030" w:customStyle="true">
    <w:name w:val="font51"/>
    <w:basedOn w:val="000009"/>
    <w:autoRedefine/>
    <w:uiPriority w:val="0"/>
    <w:qFormat/>
    <w:rPr>
      <w:rFonts w:hint="default" w:ascii="Times New Roman" w:hAnsi="Times New Roman" w:cs="Times New Roman"/>
      <w:color w:val="000000"/>
      <w:sz w:val="16"/>
      <w:szCs w:val="16"/>
      <w:u w:val="none"/>
    </w:rPr>
  </w:style>
  <w:style w:type="paragraph" w:styleId="00002a" w:customStyle="true">
    <w:name w:val="分类号"/>
    <w:basedOn w:val="000005"/>
    <w:autoRedefine/>
    <w:uiPriority w:val="0"/>
    <w:qFormat/>
    <w:pPr>
      <w:widowControl w:val="false"/>
      <w:kinsoku/>
      <w:autoSpaceDE/>
      <w:autoSpaceDN/>
      <w:adjustRightInd/>
      <w:snapToGrid/>
      <w:spacing w:line="240" w:lineRule="auto"/>
      <w:jc w:val="both"/>
      <w:textAlignment w:val="auto"/>
    </w:pPr>
    <w:rPr>
      <w:rFonts w:ascii="仿宋_GB2312" w:hAnsi="Times New Roman" w:eastAsia="仿宋_GB2312" w:cs="Times New Roman"/>
      <w:snapToGrid/>
      <w:kern w:val="2"/>
      <w:sz w:val="28"/>
      <w:szCs w:val="28"/>
      <w:lang w:eastAsia="zh-CN"/>
    </w:rPr>
  </w:style>
  <w:style w:type="character" w:styleId="00002f" w:customStyle="true">
    <w:name w:val="font121"/>
    <w:basedOn w:val="000009"/>
    <w:uiPriority w:val="0"/>
    <w:qFormat/>
    <w:rPr>
      <w:rFonts w:hint="eastAsia" w:ascii="宋体" w:hAnsi="宋体" w:eastAsia="宋体" w:cs="宋体"/>
      <w:color w:val="000000"/>
      <w:sz w:val="14"/>
      <w:szCs w:val="14"/>
      <w:u w:val="none"/>
    </w:rPr>
  </w:style>
  <w:style w:type="paragraph" w:styleId="00001a" w:customStyle="true">
    <w:name w:val="研究生姓名"/>
    <w:basedOn w:val="000005"/>
    <w:autoRedefine/>
    <w:uiPriority w:val="0"/>
    <w:qFormat/>
    <w:pPr>
      <w:widowControl w:val="false"/>
      <w:kinsoku/>
      <w:autoSpaceDE/>
      <w:autoSpaceDN/>
      <w:adjustRightInd/>
      <w:snapToGrid/>
      <w:spacing w:line="240" w:lineRule="auto"/>
      <w:ind w:firstLine="700" w:firstLineChars="700"/>
      <w:jc w:val="both"/>
      <w:textAlignment w:val="auto"/>
    </w:pPr>
    <w:rPr>
      <w:rFonts w:ascii="Times New Roman" w:hAnsi="Times New Roman" w:eastAsia="宋体" w:cs="Times New Roman"/>
      <w:snapToGrid/>
      <w:kern w:val="2"/>
      <w:sz w:val="28"/>
      <w:szCs w:val="28"/>
      <w:lang w:eastAsia="zh-CN"/>
    </w:rPr>
  </w:style>
  <w:style w:type="character" w:styleId="000032" w:customStyle="true">
    <w:name w:val="font101"/>
    <w:basedOn w:val="000009"/>
    <w:uiPriority w:val="0"/>
    <w:qFormat/>
    <w:rPr>
      <w:rFonts w:hint="default" w:ascii="Times New Roman" w:hAnsi="Times New Roman" w:cs="Times New Roman"/>
      <w:color w:val="000000"/>
      <w:sz w:val="14"/>
      <w:szCs w:val="14"/>
      <w:u w:val="none"/>
    </w:rPr>
  </w:style>
  <w:style w:type="paragraph" w:styleId="000011">
    <w:name w:val="toc 1"/>
    <w:basedOn w:val="000005"/>
    <w:next w:val="000005"/>
    <w:autoRedefine/>
    <w:uiPriority w:val="39"/>
    <w:qFormat/>
  </w:style>
  <w:style w:type="character" w:styleId="000033" w:customStyle="true">
    <w:name w:val="font151"/>
    <w:basedOn w:val="000009"/>
    <w:autoRedefine/>
    <w:uiPriority w:val="0"/>
    <w:qFormat/>
    <w:rPr>
      <w:rFonts w:hint="default" w:ascii="Times New Roman" w:hAnsi="Times New Roman" w:cs="Times New Roman"/>
      <w:color w:val="000000"/>
      <w:sz w:val="14"/>
      <w:szCs w:val="14"/>
      <w:u w:val="none"/>
    </w:rPr>
  </w:style>
  <w:style w:type="paragraph" w:styleId="00000f">
    <w:name w:val="footer"/>
    <w:basedOn w:val="000005"/>
    <w:autoRedefine/>
    <w:uiPriority w:val="99"/>
    <w:qFormat/>
    <w:pPr>
      <w:tabs>
        <w:tab w:val="center" w:pos="4153"/>
        <w:tab w:val="right" w:pos="8306"/>
      </w:tabs>
      <w:snapToGrid w:val="false"/>
      <w:jc w:val="left"/>
    </w:pPr>
    <w:rPr>
      <w:sz w:val="18"/>
    </w:rPr>
  </w:style>
  <w:style w:type="character" w:styleId="00001d" w:customStyle="true">
    <w:name w:val="font31"/>
    <w:basedOn w:val="000009"/>
    <w:autoRedefine/>
    <w:uiPriority w:val="0"/>
    <w:qFormat/>
    <w:rPr>
      <w:rFonts w:hint="eastAsia" w:ascii="宋体" w:hAnsi="宋体" w:eastAsia="宋体" w:cs="宋体"/>
      <w:color w:val="000000"/>
      <w:sz w:val="18"/>
      <w:szCs w:val="18"/>
      <w:u w:val="none"/>
    </w:rPr>
  </w:style>
  <w:style w:type="table" w:styleId="00000a" w:default="true">
    <w:name w:val="Normal Table"/>
    <w:autoRedefine/>
    <w:uiPriority w:val="99"/>
    <w:qFormat/>
    <w:tblPr>
      <w:tblCellMar>
        <w:top w:w="0" w:type="dxa"/>
        <w:left w:w="108" w:type="dxa"/>
        <w:bottom w:w="0" w:type="dxa"/>
        <w:right w:w="108" w:type="dxa"/>
      </w:tblCellMar>
    </w:tblPr>
  </w:style>
  <w:style w:type="character" w:styleId="000027" w:customStyle="true">
    <w:name w:val="font01"/>
    <w:basedOn w:val="000009"/>
    <w:autoRedefine/>
    <w:uiPriority w:val="0"/>
    <w:qFormat/>
    <w:rPr>
      <w:rFonts w:hint="eastAsia" w:ascii="宋体" w:hAnsi="宋体" w:eastAsia="宋体" w:cs="宋体"/>
      <w:color w:val="FF0000"/>
      <w:sz w:val="21"/>
      <w:szCs w:val="21"/>
      <w:u w:val="none"/>
    </w:rPr>
  </w:style>
  <w:style w:type="paragraph" w:styleId="000021" w:customStyle="true">
    <w:name w:val="Table Text"/>
    <w:basedOn w:val="000005"/>
    <w:autoRedefine/>
    <w:uiPriority w:val="0"/>
    <w:qFormat/>
    <w:rPr>
      <w:rFonts w:ascii="仿宋" w:hAnsi="仿宋" w:eastAsia="仿宋" w:cs="仿宋"/>
      <w:sz w:val="20"/>
      <w:szCs w:val="20"/>
      <w:lang w:val="en-US" w:eastAsia="en-US" w:bidi="ar-SA"/>
    </w:rPr>
  </w:style>
  <w:style w:type="paragraph" w:styleId="000013">
    <w:name w:val="Body Text 2"/>
    <w:basedOn w:val="000005"/>
    <w:autoRedefine/>
    <w:uiPriority w:val="99"/>
    <w:qFormat/>
    <w:rPr>
      <w:color w:val="0000FF"/>
    </w:rPr>
  </w:style>
  <w:style w:type="character" w:styleId="000018">
    <w:name w:val="Hyperlink"/>
    <w:basedOn w:val="000009"/>
    <w:autoRedefine/>
    <w:uiPriority w:val="99"/>
    <w:qFormat/>
    <w:rPr>
      <w:rFonts w:ascii="Times New Roman" w:hAnsi="Times New Roman" w:eastAsia="宋体" w:cs="Times New Roman"/>
      <w:color w:val="0000FF"/>
      <w:u w:val="single"/>
    </w:rPr>
  </w:style>
  <w:style w:type="table" w:styleId="000019" w:customStyle="true">
    <w:name w:val="Table Normal"/>
    <w:autoRedefine/>
    <w:uiPriority w:val="0"/>
    <w:qFormat/>
    <w:tblPr>
      <w:tblCellMar>
        <w:top w:w="0" w:type="dxa"/>
        <w:left w:w="0" w:type="dxa"/>
        <w:bottom w:w="0" w:type="dxa"/>
        <w:right w:w="0" w:type="dxa"/>
      </w:tblCellMar>
    </w:tblPr>
  </w:style>
  <w:style w:type="character" w:styleId="000031" w:customStyle="true">
    <w:name w:val="font61"/>
    <w:basedOn w:val="000009"/>
    <w:autoRedefine/>
    <w:uiPriority w:val="0"/>
    <w:qFormat/>
    <w:rPr>
      <w:rFonts w:ascii="Arial" w:hAnsi="Arial" w:cs="Arial"/>
      <w:color w:val="000000"/>
      <w:sz w:val="16"/>
      <w:szCs w:val="16"/>
      <w:u w:val="none"/>
    </w:rPr>
  </w:style>
  <w:style w:type="table" w:styleId="000016">
    <w:name w:val="Table Grid"/>
    <w:basedOn w:val="00000a"/>
    <w:autoRedefine/>
    <w:uiPriority w:val="39"/>
    <w:qFormat/>
    <w:pPr>
      <w:widowControl w:val="false"/>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000034" w:customStyle="true">
    <w:name w:val="正文11"/>
    <w:uiPriority w:val="0"/>
    <w:qFormat/>
    <w:pPr>
      <w:widowControl w:val="false"/>
      <w:spacing w:line="360" w:lineRule="auto"/>
      <w:ind w:firstLine="200" w:firstLineChars="200"/>
      <w:jc w:val="both"/>
    </w:pPr>
    <w:rPr>
      <w:rFonts w:ascii="Times New Roman" w:hAnsi="Times New Roman" w:eastAsia="宋体" w:cs="Times New Roman"/>
      <w:kern w:val="2"/>
      <w:sz w:val="28"/>
      <w:szCs w:val="32"/>
      <w:lang w:val="en-US" w:eastAsia="zh-CN" w:bidi="ar-SA"/>
    </w:rPr>
  </w:style>
  <w:style w:type="paragraph" w:styleId="00001e" w:customStyle="true">
    <w:name w:val="论文标题"/>
    <w:basedOn w:val="000005"/>
    <w:autoRedefine/>
    <w:uiPriority w:val="0"/>
    <w:qFormat/>
    <w:pPr>
      <w:widowControl w:val="false"/>
      <w:kinsoku/>
      <w:autoSpaceDE/>
      <w:autoSpaceDN/>
      <w:adjustRightInd/>
      <w:snapToGrid/>
      <w:spacing w:line="240" w:lineRule="auto"/>
      <w:jc w:val="center"/>
      <w:textAlignment w:val="auto"/>
    </w:pPr>
    <w:rPr>
      <w:rFonts w:ascii="Times New Roman" w:hAnsi="Times New Roman" w:eastAsia="楷体_GB2312" w:cs="Times New Roman"/>
      <w:b/>
      <w:snapToGrid/>
      <w:kern w:val="36"/>
      <w:sz w:val="52"/>
      <w:szCs w:val="52"/>
      <w:lang w:eastAsia="zh-CN"/>
    </w:rPr>
  </w:style>
  <w:style w:type="paragraph" w:styleId="00000d">
    <w:name w:val="Body Text Indent"/>
    <w:basedOn w:val="000005"/>
    <w:next w:val="00000e"/>
    <w:autoRedefine/>
    <w:uiPriority w:val="99"/>
    <w:qFormat/>
    <w:pPr>
      <w:widowControl w:val="false"/>
      <w:kinsoku/>
      <w:autoSpaceDE/>
      <w:autoSpaceDN/>
      <w:adjustRightInd/>
      <w:snapToGrid/>
      <w:spacing w:after="120" w:line="240" w:lineRule="auto"/>
      <w:ind w:left="420" w:leftChars="200"/>
      <w:jc w:val="both"/>
      <w:textAlignment w:val="auto"/>
    </w:pPr>
    <w:rPr>
      <w:rFonts w:ascii="Calibri" w:hAnsi="Calibri" w:eastAsia="宋体" w:cs="Times New Roman"/>
      <w:snapToGrid/>
      <w:kern w:val="2"/>
      <w:sz w:val="28"/>
      <w:szCs w:val="28"/>
      <w:lang w:eastAsia="zh-CN"/>
    </w:rPr>
  </w:style>
  <w:style w:type="paragraph" w:styleId="00000c">
    <w:name w:val="Body Text"/>
    <w:basedOn w:val="000005"/>
    <w:autoRedefine/>
    <w:uiPriority w:val="99"/>
    <w:qFormat/>
    <w:rPr>
      <w:rFonts w:ascii="Arial" w:hAnsi="Arial" w:eastAsia="Arial" w:cs="Arial"/>
      <w:sz w:val="21"/>
      <w:szCs w:val="21"/>
      <w:lang w:val="en-US" w:eastAsia="en-US" w:bidi="ar-SA"/>
    </w:rPr>
  </w:style>
  <w:style w:type="paragraph" w:styleId="000012">
    <w:name w:val="toc 2"/>
    <w:basedOn w:val="000005"/>
    <w:next w:val="000005"/>
    <w:autoRedefine/>
    <w:uiPriority w:val="39"/>
    <w:qFormat/>
    <w:pPr>
      <w:ind w:left="420" w:leftChars="200"/>
    </w:pPr>
  </w:style>
  <w:style w:type="paragraph" w:styleId="00002c" w:customStyle="true">
    <w:name w:val="WPSOffice手动目录 1"/>
    <w:autoRedefine/>
    <w:uiPriority w:val="0"/>
    <w:qFormat/>
    <w:pPr>
      <w:ind w:leftChars="0"/>
    </w:pPr>
    <w:rPr>
      <w:rFonts w:ascii="Times New Roman" w:hAnsi="Times New Roman" w:eastAsia="宋体" w:cs="Times New Roman"/>
      <w:sz w:val="20"/>
      <w:szCs w:val="20"/>
    </w:rPr>
  </w:style>
  <w:style w:type="paragraph" w:styleId="000005" w:default="true">
    <w:name w:val="Normal"/>
    <w:uiPriority w:val="0"/>
    <w:qFormat/>
    <w:pPr>
      <w:kinsoku w:val="false"/>
      <w:autoSpaceDE w:val="false"/>
      <w:autoSpaceDN w:val="false"/>
      <w:adjustRightInd w:val="false"/>
      <w:snapToGrid w:val="false"/>
      <w:spacing w:line="240" w:lineRule="auto"/>
      <w:jc w:val="left"/>
      <w:textAlignment w:val="baseline"/>
    </w:pPr>
    <w:rPr>
      <w:rFonts w:ascii="Arial" w:hAnsi="Arial" w:eastAsia="Arial" w:cs="Arial"/>
      <w:snapToGrid w:val="false"/>
      <w:color w:val="000000"/>
      <w:kern w:val="0"/>
      <w:sz w:val="21"/>
      <w:szCs w:val="21"/>
      <w:lang w:val="en-US" w:eastAsia="en-US" w:bidi="ar-SA"/>
    </w:rPr>
  </w:style>
  <w:style w:type="paragraph" w:styleId="00000e">
    <w:name w:val="envelope return"/>
    <w:basedOn w:val="000005"/>
    <w:autoRedefine/>
    <w:uiPriority w:val="99"/>
    <w:qFormat/>
    <w:pPr>
      <w:widowControl w:val="false"/>
      <w:kinsoku/>
      <w:autoSpaceDE/>
      <w:autoSpaceDN/>
      <w:adjustRightInd w:val="false"/>
      <w:snapToGrid w:val="false"/>
      <w:spacing w:line="240" w:lineRule="auto"/>
      <w:ind w:firstLine="0" w:firstLineChars="0"/>
      <w:jc w:val="both"/>
      <w:textAlignment w:val="auto"/>
    </w:pPr>
    <w:rPr>
      <w:rFonts w:ascii="Arial" w:hAnsi="Arial" w:eastAsia="宋体" w:cs="宋体"/>
      <w:snapToGrid/>
      <w:kern w:val="2"/>
      <w:szCs w:val="20"/>
      <w:lang w:eastAsia="zh-CN"/>
    </w:rPr>
  </w:style>
  <w:style w:type="paragraph" w:styleId="000008">
    <w:name w:val="heading 3"/>
    <w:basedOn w:val="000005"/>
    <w:next w:val="000005"/>
    <w:autoRedefine/>
    <w:uiPriority w:val="9"/>
    <w:qFormat/>
    <w:pPr>
      <w:keepNext/>
      <w:keepLines/>
      <w:spacing w:before="260" w:beforeAutospacing="false" w:after="260" w:afterAutospacing="false" w:line="413" w:lineRule="auto"/>
      <w:outlineLvl w:val="2"/>
    </w:pPr>
    <w:rPr>
      <w:rFonts w:ascii="Calibri" w:hAnsi="Calibri" w:eastAsia="黑体"/>
      <w:b/>
      <w:sz w:val="28"/>
    </w:rPr>
  </w:style>
  <w:style w:type="character" w:styleId="00001f" w:customStyle="true">
    <w:name w:val="font132"/>
    <w:basedOn w:val="000009"/>
    <w:uiPriority w:val="0"/>
    <w:qFormat/>
    <w:rPr>
      <w:rFonts w:hint="default" w:ascii="Times New Roman" w:hAnsi="Times New Roman" w:cs="Times New Roman"/>
      <w:color w:val="000000"/>
      <w:sz w:val="14"/>
      <w:szCs w:val="14"/>
      <w:u w:val="none"/>
    </w:rPr>
  </w:style>
  <w:style w:type="character" w:styleId="000017">
    <w:name w:val="Strong"/>
    <w:basedOn w:val="000009"/>
    <w:autoRedefine/>
    <w:uiPriority w:val="22"/>
    <w:qFormat/>
    <w:rPr>
      <w:b/>
    </w:rPr>
  </w:style>
  <w:style w:type="paragraph" w:styleId="000025">
    <w:name w:val="List Paragraph"/>
    <w:basedOn w:val="000005"/>
    <w:autoRedefine/>
    <w:uiPriority w:val="1"/>
    <w:qFormat/>
    <w:pPr>
      <w:ind w:left="220" w:firstLine="559"/>
    </w:pPr>
    <w:rPr>
      <w:rFonts w:ascii="仿宋" w:hAnsi="仿宋" w:eastAsia="仿宋" w:cs="仿宋"/>
      <w:lang w:val="zh-CN" w:eastAsia="zh-CN" w:bidi="zh-CN"/>
    </w:rPr>
  </w:style>
  <w:style w:type="paragraph" w:styleId="00001c" w:customStyle="true">
    <w:name w:val="封面日期"/>
    <w:basedOn w:val="000005"/>
    <w:autoRedefine/>
    <w:uiPriority w:val="0"/>
    <w:qFormat/>
    <w:pPr>
      <w:widowControl w:val="false"/>
      <w:kinsoku/>
      <w:autoSpaceDE/>
      <w:autoSpaceDN/>
      <w:adjustRightInd/>
      <w:snapToGrid/>
      <w:spacing w:line="240" w:lineRule="auto"/>
      <w:jc w:val="center"/>
      <w:textAlignment w:val="auto"/>
    </w:pPr>
    <w:rPr>
      <w:rFonts w:ascii="黑体" w:hAnsi="Times New Roman" w:eastAsia="黑体" w:cs="Times New Roman"/>
      <w:snapToGrid/>
      <w:kern w:val="2"/>
      <w:sz w:val="32"/>
      <w:szCs w:val="32"/>
      <w:lang w:eastAsia="zh-CN"/>
    </w:rPr>
  </w:style>
  <w:style w:type="paragraph" w:styleId="000029" w:customStyle="true">
    <w:name w:val="硕士学位论文"/>
    <w:basedOn w:val="000005"/>
    <w:autoRedefine/>
    <w:uiPriority w:val="0"/>
    <w:qFormat/>
    <w:pPr>
      <w:widowControl w:val="false"/>
      <w:kinsoku/>
      <w:autoSpaceDE/>
      <w:autoSpaceDN/>
      <w:adjustRightInd/>
      <w:snapToGrid/>
      <w:spacing w:before="240" w:line="240" w:lineRule="auto"/>
      <w:jc w:val="center"/>
      <w:textAlignment w:val="auto"/>
    </w:pPr>
    <w:rPr>
      <w:rFonts w:ascii="Times New Roman" w:hAnsi="Times New Roman" w:eastAsia="宋体" w:cs="Times New Roman"/>
      <w:snapToGrid/>
      <w:kern w:val="2"/>
      <w:sz w:val="44"/>
      <w:szCs w:val="44"/>
      <w:lang w:eastAsia="zh-CN"/>
    </w:rPr>
  </w:style>
  <w:style w:type="paragraph" w:styleId="000006">
    <w:name w:val="heading 1"/>
    <w:basedOn w:val="000005"/>
    <w:next w:val="000005"/>
    <w:autoRedefine/>
    <w:uiPriority w:val="9"/>
    <w:qFormat/>
    <w:pPr>
      <w:keepNext/>
      <w:keepLines/>
      <w:spacing w:before="340" w:beforeAutospacing="false" w:after="330" w:afterAutospacing="false" w:line="576" w:lineRule="auto"/>
      <w:outlineLvl w:val="0"/>
    </w:pPr>
    <w:rPr>
      <w:rFonts w:ascii="Calibri" w:hAnsi="Calibri" w:eastAsia="黑体"/>
      <w:b/>
      <w:kern w:val="44"/>
      <w:sz w:val="36"/>
    </w:rPr>
  </w:style>
  <w:style w:type="character" w:styleId="000036" w:customStyle="true">
    <w:name w:val="font21"/>
    <w:basedOn w:val="000009"/>
    <w:uiPriority w:val="0"/>
    <w:qFormat/>
    <w:rPr>
      <w:rFonts w:ascii="Arial" w:hAnsi="Arial" w:cs="Arial"/>
      <w:color w:val="000000"/>
      <w:sz w:val="16"/>
      <w:szCs w:val="16"/>
      <w:u w:val="none"/>
    </w:rPr>
  </w:style>
  <w:style w:type="character" w:styleId="000022" w:customStyle="true">
    <w:name w:val="font41"/>
    <w:basedOn w:val="000009"/>
    <w:autoRedefine/>
    <w:uiPriority w:val="0"/>
    <w:qFormat/>
    <w:rPr>
      <w:rFonts w:hint="eastAsia" w:ascii="宋体" w:hAnsi="宋体" w:eastAsia="宋体" w:cs="宋体"/>
      <w:color w:val="000000"/>
      <w:sz w:val="16"/>
      <w:szCs w:val="16"/>
      <w:u w:val="none"/>
    </w:rPr>
  </w:style>
  <w:style w:type="character" w:styleId="000023" w:customStyle="true">
    <w:name w:val="font141"/>
    <w:basedOn w:val="000009"/>
    <w:uiPriority w:val="0"/>
    <w:qFormat/>
    <w:rPr>
      <w:rFonts w:hint="default" w:ascii="Times New Roman" w:hAnsi="Times New Roman" w:cs="Times New Roman"/>
      <w:color w:val="000000"/>
      <w:sz w:val="14"/>
      <w:szCs w:val="14"/>
      <w:u w:val="none"/>
    </w:rPr>
  </w:style>
  <w:style w:type="character" w:styleId="000028" w:customStyle="true">
    <w:name w:val="font112"/>
    <w:basedOn w:val="000009"/>
    <w:uiPriority w:val="0"/>
    <w:qFormat/>
    <w:rPr>
      <w:rFonts w:hint="eastAsia" w:ascii="宋体" w:hAnsi="宋体" w:eastAsia="宋体" w:cs="宋体"/>
      <w:color w:val="000000"/>
      <w:sz w:val="14"/>
      <w:szCs w:val="14"/>
      <w:u w:val="none"/>
    </w:rPr>
  </w:style>
  <w:style w:type="paragraph" w:styleId="000007">
    <w:name w:val="heading 2"/>
    <w:basedOn w:val="000005"/>
    <w:next w:val="000005"/>
    <w:autoRedefine/>
    <w:uiPriority w:val="9"/>
    <w:qFormat/>
    <w:pPr>
      <w:keepNext/>
      <w:keepLines/>
      <w:spacing w:before="260" w:beforeAutospacing="false" w:after="260" w:afterAutospacing="false" w:line="413" w:lineRule="auto"/>
      <w:outlineLvl w:val="1"/>
    </w:pPr>
    <w:rPr>
      <w:rFonts w:ascii="Arial" w:hAnsi="Arial" w:eastAsia="黑体"/>
      <w:b/>
      <w:sz w:val="30"/>
    </w:rPr>
  </w:style>
  <w:style w:type="character" w:styleId="00002e" w:customStyle="true">
    <w:name w:val="font131"/>
    <w:basedOn w:val="000009"/>
    <w:uiPriority w:val="0"/>
    <w:qFormat/>
    <w:rPr>
      <w:rFonts w:hint="default" w:ascii="Times New Roman" w:hAnsi="Times New Roman" w:cs="Times New Roman"/>
      <w:color w:val="000000"/>
      <w:sz w:val="14"/>
      <w:szCs w:val="14"/>
      <w:u w:val="none"/>
    </w:rPr>
  </w:style>
  <w:style w:type="character" w:styleId="000026" w:customStyle="true">
    <w:name w:val="font91"/>
    <w:basedOn w:val="000009"/>
    <w:uiPriority w:val="0"/>
    <w:qFormat/>
    <w:rPr>
      <w:rFonts w:hint="default" w:ascii="Times New Roman" w:hAnsi="Times New Roman" w:cs="Times New Roman"/>
      <w:color w:val="000000"/>
      <w:sz w:val="14"/>
      <w:szCs w:val="14"/>
      <w:u w:val="none"/>
    </w:rPr>
  </w:style>
  <w:style w:type="paragraph" w:styleId="00000b">
    <w:name w:val="annotation text"/>
    <w:basedOn w:val="000005"/>
    <w:autoRedefine/>
    <w:uiPriority w:val="99"/>
    <w:qFormat/>
    <w:pPr>
      <w:jc w:val="left"/>
    </w:pPr>
  </w:style>
  <w:style w:type="character" w:styleId="000024" w:customStyle="true">
    <w:name w:val="font122"/>
    <w:basedOn w:val="000009"/>
    <w:autoRedefine/>
    <w:uiPriority w:val="0"/>
    <w:qFormat/>
    <w:rPr>
      <w:rFonts w:hint="eastAsia" w:ascii="宋体" w:hAnsi="宋体" w:eastAsia="宋体" w:cs="宋体"/>
      <w:color w:val="000000"/>
      <w:sz w:val="14"/>
      <w:szCs w:val="14"/>
      <w:u w:val="none"/>
    </w:rPr>
  </w:style>
  <w:style w:type="character" w:styleId="00002d" w:customStyle="true">
    <w:name w:val="font11"/>
    <w:basedOn w:val="000009"/>
    <w:autoRedefine/>
    <w:uiPriority w:val="0"/>
    <w:qFormat/>
    <w:rPr>
      <w:rFonts w:hint="eastAsia" w:ascii="宋体" w:hAnsi="宋体" w:eastAsia="宋体" w:cs="宋体"/>
      <w:color w:val="000000"/>
      <w:sz w:val="16"/>
      <w:szCs w:val="16"/>
      <w:u w:val="none"/>
    </w:rPr>
  </w:style>
</w:styles>
</file>

<file path=word/_rels/document.xml.rels><?xml version="1.0" encoding="UTF-8" standalone="yes"?><Relationships xmlns="http://schemas.openxmlformats.org/package/2006/relationships"><Relationship Id="rId9" Type="http://schemas.openxmlformats.org/officeDocument/2006/relationships/image" Target="media/image3.jpg" /><Relationship Id="rId6" Type="http://schemas.openxmlformats.org/officeDocument/2006/relationships/footer" Target="footer1.xml" /><Relationship Id="rId4" Type="http://schemas.openxmlformats.org/officeDocument/2006/relationships/fontTable" Target="fontTable.xml" /><Relationship Id="rId26" Type="http://schemas.openxmlformats.org/officeDocument/2006/relationships/image" Target="media/image20.png" /><Relationship Id="rId25" Type="http://schemas.openxmlformats.org/officeDocument/2006/relationships/image" Target="media/image19.png" /><Relationship Id="rId24" Type="http://schemas.openxmlformats.org/officeDocument/2006/relationships/image" Target="media/image18.png" /><Relationship Id="rId23" Type="http://schemas.openxmlformats.org/officeDocument/2006/relationships/image" Target="media/image17.png" /><Relationship Id="rId12" Type="http://schemas.openxmlformats.org/officeDocument/2006/relationships/image" Target="media/image6.jpg" /><Relationship Id="rId27" Type="http://schemas.openxmlformats.org/officeDocument/2006/relationships/image" Target="media/image21.png" /><Relationship Id="rId10" Type="http://schemas.openxmlformats.org/officeDocument/2006/relationships/image" Target="media/image4.png" /><Relationship Id="rId13" Type="http://schemas.openxmlformats.org/officeDocument/2006/relationships/image" Target="media/image7.png" /><Relationship Id="rId0" Type="http://schemas.openxmlformats.org/officeDocument/2006/relationships/styles" Target="styles.xml" /><Relationship Id="rId11" Type="http://schemas.openxmlformats.org/officeDocument/2006/relationships/image" Target="media/image5.png" /><Relationship Id="rId17" Type="http://schemas.openxmlformats.org/officeDocument/2006/relationships/image" Target="media/image11.png" /><Relationship Id="rId3" Type="http://schemas.openxmlformats.org/officeDocument/2006/relationships/endnotes" Target="endnotes.xml" /><Relationship Id="rId2" Type="http://schemas.openxmlformats.org/officeDocument/2006/relationships/footnotes" Target="footnotes.xml" /><Relationship Id="rId8" Type="http://schemas.openxmlformats.org/officeDocument/2006/relationships/image" Target="media/image2.jpg" /><Relationship Id="rId1" Type="http://schemas.openxmlformats.org/officeDocument/2006/relationships/settings" Target="settings.xml" /><Relationship Id="rId5" Type="http://schemas.openxmlformats.org/officeDocument/2006/relationships/theme" Target="theme/theme1.xml" /><Relationship Id="rId14" Type="http://schemas.openxmlformats.org/officeDocument/2006/relationships/image" Target="media/image8.jpg" /><Relationship Id="rId7" Type="http://schemas.openxmlformats.org/officeDocument/2006/relationships/image" Target="media/image1.jpg" /><Relationship Id="rId20" Type="http://schemas.openxmlformats.org/officeDocument/2006/relationships/image" Target="media/image14.png" /><Relationship Id="rId15" Type="http://schemas.openxmlformats.org/officeDocument/2006/relationships/image" Target="media/image9.jpg" /><Relationship Id="rId16" Type="http://schemas.openxmlformats.org/officeDocument/2006/relationships/image" Target="media/image10.png" /><Relationship Id="rId18" Type="http://schemas.openxmlformats.org/officeDocument/2006/relationships/image" Target="media/image12.png" /><Relationship Id="rId19" Type="http://schemas.openxmlformats.org/officeDocument/2006/relationships/image" Target="media/image13.png" /><Relationship Id="rId21" Type="http://schemas.openxmlformats.org/officeDocument/2006/relationships/image" Target="media/image15.jpg" /><Relationship Id="rId22" Type="http://schemas.openxmlformats.org/officeDocument/2006/relationships/image" Target="media/image16.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false">
              <a:srgbClr val="000000">
                <a:alpha val="38000"/>
              </a:srgbClr>
            </a:outerShdw>
          </a:effectLst>
        </a:effectStyle>
        <a:effectStyle>
          <a:effectLst>
            <a:outerShdw blurRad="40000" dist="23000" dir="5400000" rotWithShape="false">
              <a:srgbClr val="000000">
                <a:alpha val="35000"/>
              </a:srgbClr>
            </a:outerShdw>
          </a:effectLst>
        </a:effectStyle>
        <a:effectStyle>
          <a:effectLst>
            <a:outerShdw blurRad="40000" dist="23000" dir="5400000" rotWithShape="false">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vt="http://schemas.openxmlformats.org/officeDocument/2006/docPropsVTypes" xmlns="http://schemas.openxmlformats.org/officeDocument/2006/extended-properties">
  <Application>Tencent office</Application>
</Properties>
</file>

<file path=docProps/core.xml><?xml version="1.0" encoding="utf-8"?>
<cp:coreProperties xmlns:xsi="http://www.w3.org/2001/XMLSchema-instance" xmlns:dcmitype="http://purl.org/dc/dcmitype/" xmlns:dcterms="http://purl.org/dc/terms/" xmlns:cp="http://schemas.openxmlformats.org/package/2006/metadata/core-properties" xmlns:dc="http://purl.org/dc/elements/1.1/">
  <dcterms:created xsi:type="dcterms:W3CDTF">2025-01-21T09:41:37Z</dcterms:created>
  <dcterms:modified xsi:type="dcterms:W3CDTF">2025-01-21T09:41:37Z</dcterms:modified>
</cp:coreProperties>
</file>